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2F69" w:rsidRPr="00A85E40" w:rsidRDefault="009C21A2" w:rsidP="009C21A2">
      <w:pPr>
        <w:pStyle w:val="PlainText"/>
        <w:jc w:val="both"/>
        <w:rPr>
          <w:rFonts w:ascii="Times New Roman" w:hAnsi="Times New Roman" w:cs="Times New Roman"/>
          <w:sz w:val="24"/>
          <w:szCs w:val="24"/>
        </w:rPr>
      </w:pPr>
      <w:r w:rsidRPr="009C21A2">
        <w:rPr>
          <w:rFonts w:ascii="Times New Roman" w:hAnsi="Times New Roman" w:cs="Times New Roman"/>
          <w:noProof/>
          <w:sz w:val="24"/>
          <w:szCs w:val="24"/>
        </w:rPr>
        <w:drawing>
          <wp:inline distT="0" distB="0" distL="0" distR="0">
            <wp:extent cx="6519643" cy="9152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24906" cy="9160116"/>
                    </a:xfrm>
                    <a:prstGeom prst="rect">
                      <a:avLst/>
                    </a:prstGeom>
                    <a:noFill/>
                    <a:ln>
                      <a:noFill/>
                    </a:ln>
                  </pic:spPr>
                </pic:pic>
              </a:graphicData>
            </a:graphic>
          </wp:inline>
        </w:drawing>
      </w:r>
      <w:r w:rsidRPr="009C21A2">
        <w:rPr>
          <w:rFonts w:ascii="Times New Roman" w:hAnsi="Times New Roman" w:cs="Times New Roman"/>
          <w:sz w:val="24"/>
          <w:szCs w:val="24"/>
        </w:rPr>
        <w:t xml:space="preserve"> </w:t>
      </w:r>
      <w:r w:rsidR="00FF2F69" w:rsidRPr="00A85E40">
        <w:rPr>
          <w:rFonts w:ascii="Times New Roman" w:hAnsi="Times New Roman" w:cs="Times New Roman"/>
          <w:sz w:val="24"/>
          <w:szCs w:val="24"/>
        </w:rPr>
        <w:br w:type="page"/>
      </w:r>
    </w:p>
    <w:p w:rsidR="00FF2F69" w:rsidRDefault="00FF2F69" w:rsidP="00FF2F69">
      <w:pPr>
        <w:pStyle w:val="PlainText"/>
        <w:spacing w:after="120"/>
        <w:jc w:val="both"/>
        <w:rPr>
          <w:rFonts w:ascii="Times New Roman" w:hAnsi="Times New Roman" w:cs="Times New Roman"/>
          <w:sz w:val="24"/>
          <w:szCs w:val="24"/>
        </w:rPr>
      </w:pPr>
      <w:r w:rsidRPr="00FF2F69">
        <w:rPr>
          <w:rFonts w:ascii="Times New Roman" w:hAnsi="Times New Roman" w:cs="Times New Roman"/>
          <w:noProof/>
          <w:sz w:val="24"/>
          <w:szCs w:val="24"/>
        </w:rPr>
        <w:drawing>
          <wp:inline distT="0" distB="0" distL="0" distR="0">
            <wp:extent cx="5731510" cy="851651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8516512"/>
                    </a:xfrm>
                    <a:prstGeom prst="rect">
                      <a:avLst/>
                    </a:prstGeom>
                    <a:noFill/>
                    <a:ln>
                      <a:noFill/>
                    </a:ln>
                  </pic:spPr>
                </pic:pic>
              </a:graphicData>
            </a:graphic>
          </wp:inline>
        </w:drawing>
      </w:r>
    </w:p>
    <w:p w:rsidR="00FF2F69" w:rsidRDefault="00FF2F69">
      <w:pPr>
        <w:rPr>
          <w:rFonts w:ascii="Times New Roman" w:hAnsi="Times New Roman" w:cs="Times New Roman"/>
          <w:sz w:val="24"/>
          <w:szCs w:val="24"/>
        </w:rPr>
      </w:pPr>
      <w:r>
        <w:rPr>
          <w:rFonts w:ascii="Times New Roman" w:hAnsi="Times New Roman" w:cs="Times New Roman"/>
          <w:sz w:val="24"/>
          <w:szCs w:val="24"/>
        </w:rPr>
        <w:br w:type="page"/>
      </w:r>
    </w:p>
    <w:p w:rsidR="007A3421" w:rsidRPr="007A3421" w:rsidRDefault="00FF2F69" w:rsidP="00FF2F69">
      <w:pPr>
        <w:pStyle w:val="PlainText"/>
        <w:spacing w:after="120"/>
        <w:jc w:val="both"/>
        <w:rPr>
          <w:rFonts w:ascii="Times New Roman" w:hAnsi="Times New Roman" w:cs="Times New Roman"/>
          <w:sz w:val="24"/>
          <w:szCs w:val="24"/>
        </w:rPr>
      </w:pPr>
      <w:r w:rsidRPr="00FF2F69">
        <w:rPr>
          <w:rFonts w:ascii="Times New Roman" w:hAnsi="Times New Roman" w:cs="Times New Roman"/>
          <w:noProof/>
          <w:sz w:val="24"/>
          <w:szCs w:val="24"/>
        </w:rPr>
        <w:lastRenderedPageBreak/>
        <w:drawing>
          <wp:inline distT="0" distB="0" distL="0" distR="0">
            <wp:extent cx="5731510" cy="6417892"/>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417892"/>
                    </a:xfrm>
                    <a:prstGeom prst="rect">
                      <a:avLst/>
                    </a:prstGeom>
                    <a:noFill/>
                    <a:ln>
                      <a:noFill/>
                    </a:ln>
                  </pic:spPr>
                </pic:pic>
              </a:graphicData>
            </a:graphic>
          </wp:inline>
        </w:drawing>
      </w:r>
    </w:p>
    <w:p w:rsidR="00FF2F69" w:rsidRDefault="00FF2F69">
      <w:pPr>
        <w:rPr>
          <w:rFonts w:ascii="Times New Roman" w:hAnsi="Times New Roman" w:cs="Times New Roman"/>
          <w:b/>
          <w:sz w:val="28"/>
          <w:szCs w:val="28"/>
        </w:rPr>
      </w:pPr>
      <w:bookmarkStart w:id="0" w:name="_Hlk536612619"/>
      <w:r>
        <w:rPr>
          <w:rFonts w:ascii="Times New Roman" w:hAnsi="Times New Roman" w:cs="Times New Roman"/>
          <w:b/>
          <w:sz w:val="28"/>
          <w:szCs w:val="28"/>
        </w:rPr>
        <w:br w:type="page"/>
      </w:r>
    </w:p>
    <w:p w:rsidR="007A3421" w:rsidRPr="00FF2F69" w:rsidRDefault="00FF2F69" w:rsidP="00FF2F69">
      <w:pPr>
        <w:spacing w:after="0"/>
        <w:ind w:left="705" w:hanging="705"/>
        <w:jc w:val="both"/>
        <w:rPr>
          <w:rFonts w:ascii="Times New Roman" w:hAnsi="Times New Roman" w:cs="Times New Roman"/>
          <w:b/>
          <w:sz w:val="28"/>
          <w:szCs w:val="28"/>
        </w:rPr>
      </w:pPr>
      <w:bookmarkStart w:id="1" w:name="_GoBack"/>
      <w:r>
        <w:rPr>
          <w:rFonts w:ascii="Times New Roman" w:hAnsi="Times New Roman" w:cs="Times New Roman"/>
          <w:b/>
          <w:sz w:val="28"/>
          <w:szCs w:val="28"/>
        </w:rPr>
        <w:lastRenderedPageBreak/>
        <w:tab/>
      </w:r>
      <w:r>
        <w:rPr>
          <w:rFonts w:ascii="Times New Roman" w:hAnsi="Times New Roman" w:cs="Times New Roman"/>
          <w:b/>
          <w:sz w:val="28"/>
          <w:szCs w:val="28"/>
        </w:rPr>
        <w:tab/>
      </w:r>
      <w:r w:rsidR="007A3421" w:rsidRPr="007A3421">
        <w:rPr>
          <w:rFonts w:cs="Arial"/>
          <w:sz w:val="24"/>
          <w:szCs w:val="24"/>
        </w:rPr>
        <w:t xml:space="preserve">Bókun </w:t>
      </w:r>
      <w:r>
        <w:rPr>
          <w:rFonts w:cs="Arial"/>
          <w:sz w:val="24"/>
          <w:szCs w:val="24"/>
        </w:rPr>
        <w:t xml:space="preserve">meirihluta stjórnar, </w:t>
      </w:r>
      <w:r w:rsidR="007A3421" w:rsidRPr="007A3421">
        <w:rPr>
          <w:rFonts w:cs="Arial"/>
          <w:sz w:val="24"/>
          <w:szCs w:val="24"/>
        </w:rPr>
        <w:t>Arnars Þórs Sævarsson formanns, Ástu Möller</w:t>
      </w:r>
      <w:r w:rsidR="007A3421">
        <w:rPr>
          <w:rFonts w:cs="Arial"/>
          <w:sz w:val="24"/>
          <w:szCs w:val="24"/>
        </w:rPr>
        <w:t xml:space="preserve"> </w:t>
      </w:r>
      <w:bookmarkEnd w:id="1"/>
      <w:r w:rsidR="007A3421">
        <w:rPr>
          <w:rFonts w:cs="Arial"/>
          <w:sz w:val="24"/>
          <w:szCs w:val="24"/>
        </w:rPr>
        <w:t>varaformanns</w:t>
      </w:r>
      <w:r w:rsidR="007A3421" w:rsidRPr="007A3421">
        <w:rPr>
          <w:rFonts w:cs="Arial"/>
          <w:sz w:val="24"/>
          <w:szCs w:val="24"/>
        </w:rPr>
        <w:t xml:space="preserve">, Guðrúnar Ágústu Þórdísardóttur og Ingibjargar </w:t>
      </w:r>
      <w:proofErr w:type="spellStart"/>
      <w:r w:rsidR="007A3421" w:rsidRPr="007A3421">
        <w:rPr>
          <w:rFonts w:cs="Arial"/>
          <w:sz w:val="24"/>
          <w:szCs w:val="24"/>
        </w:rPr>
        <w:t>Ísaksen</w:t>
      </w:r>
      <w:proofErr w:type="spellEnd"/>
      <w:r w:rsidR="007A3421" w:rsidRPr="007A3421">
        <w:rPr>
          <w:rFonts w:cs="Arial"/>
          <w:sz w:val="24"/>
          <w:szCs w:val="24"/>
        </w:rPr>
        <w:t>:</w:t>
      </w:r>
    </w:p>
    <w:p w:rsidR="007A3421" w:rsidRPr="007A3421" w:rsidRDefault="007A3421" w:rsidP="007A3421">
      <w:pPr>
        <w:pStyle w:val="PlainText"/>
        <w:ind w:left="708"/>
        <w:jc w:val="both"/>
        <w:rPr>
          <w:rFonts w:asciiTheme="minorHAnsi" w:hAnsiTheme="minorHAnsi" w:cs="Arial"/>
          <w:sz w:val="24"/>
          <w:szCs w:val="24"/>
        </w:rPr>
      </w:pPr>
    </w:p>
    <w:p w:rsidR="007A3421" w:rsidRPr="007A3421" w:rsidRDefault="007A3421" w:rsidP="007A3421">
      <w:pPr>
        <w:pStyle w:val="PlainText"/>
        <w:ind w:left="708"/>
        <w:jc w:val="both"/>
        <w:rPr>
          <w:rFonts w:asciiTheme="minorHAnsi" w:hAnsiTheme="minorHAnsi" w:cs="Arial"/>
          <w:sz w:val="24"/>
          <w:szCs w:val="24"/>
        </w:rPr>
      </w:pPr>
      <w:r w:rsidRPr="007A3421">
        <w:rPr>
          <w:rFonts w:asciiTheme="minorHAnsi" w:hAnsiTheme="minorHAnsi" w:cs="Arial"/>
          <w:sz w:val="24"/>
          <w:szCs w:val="24"/>
        </w:rPr>
        <w:t xml:space="preserve">Á fundi stjórnar Tryggingastofnunar í dag var fjallað um </w:t>
      </w:r>
      <w:r w:rsidRPr="007A3421">
        <w:rPr>
          <w:rFonts w:asciiTheme="minorHAnsi" w:eastAsia="Times New Roman" w:hAnsiTheme="minorHAnsi"/>
          <w:sz w:val="24"/>
          <w:szCs w:val="24"/>
        </w:rPr>
        <w:t>stöðu mála vegna álits</w:t>
      </w:r>
      <w:r w:rsidRPr="007A3421">
        <w:rPr>
          <w:rFonts w:asciiTheme="minorHAnsi" w:hAnsiTheme="minorHAnsi" w:cs="Arial"/>
          <w:sz w:val="24"/>
          <w:szCs w:val="24"/>
        </w:rPr>
        <w:t xml:space="preserve"> Umboðsmanns Alþingis nr. 8955/2016 sem birst var sl. sumar varðandi framtíðarútreikning örorkulífeyris vegna búsetu innan EES.</w:t>
      </w:r>
    </w:p>
    <w:p w:rsidR="007A3421" w:rsidRPr="007A3421" w:rsidRDefault="007A3421" w:rsidP="007A3421">
      <w:pPr>
        <w:pStyle w:val="ListParagraph"/>
        <w:spacing w:after="0" w:line="240" w:lineRule="auto"/>
        <w:jc w:val="both"/>
        <w:rPr>
          <w:rFonts w:cs="Arial"/>
          <w:sz w:val="24"/>
          <w:szCs w:val="24"/>
        </w:rPr>
      </w:pPr>
      <w:r w:rsidRPr="007A3421">
        <w:rPr>
          <w:rFonts w:cs="Arial"/>
          <w:sz w:val="24"/>
          <w:szCs w:val="24"/>
        </w:rPr>
        <w:t xml:space="preserve">Framkvæmd TR í þessum málum hefur ítrekað verið staðfest af úrskurðarnefndum. Í áliti umboðsmanns Alþingis var komist að þeirri niðurstöðu að lagagrundvöllur í almannatryggingalögum vegna þessarar framkvæmdar væri ekki nægilegur.  Stofnunin brást þegar við og hefur unnið með Félagsmálaráðuneytinu að breytingum á framkvæmdinni í samræmi við álitið. Hér er um að ræða flókið mál sem þarfnast töluverðs undirbúnings. Skoða þarf m.a. aðstæður hvers og eins til að tryggja að viðkomandi njóti ekki lakari réttar eftir breytinguna. </w:t>
      </w:r>
    </w:p>
    <w:p w:rsidR="007A3421" w:rsidRPr="007A3421" w:rsidRDefault="007A3421" w:rsidP="007A3421">
      <w:pPr>
        <w:pStyle w:val="ListParagraph"/>
        <w:spacing w:after="0" w:line="240" w:lineRule="auto"/>
        <w:jc w:val="both"/>
        <w:rPr>
          <w:rFonts w:cs="Arial"/>
          <w:sz w:val="24"/>
          <w:szCs w:val="24"/>
        </w:rPr>
      </w:pPr>
    </w:p>
    <w:p w:rsidR="007A3421" w:rsidRPr="007A3421" w:rsidRDefault="007A3421" w:rsidP="007A3421">
      <w:pPr>
        <w:pStyle w:val="ListParagraph"/>
        <w:spacing w:after="0" w:line="240" w:lineRule="auto"/>
        <w:jc w:val="both"/>
        <w:rPr>
          <w:rFonts w:cs="Arial"/>
          <w:sz w:val="24"/>
          <w:szCs w:val="24"/>
        </w:rPr>
      </w:pPr>
      <w:r w:rsidRPr="007A3421">
        <w:rPr>
          <w:rFonts w:eastAsia="Times New Roman" w:cs="Arial"/>
          <w:sz w:val="24"/>
          <w:szCs w:val="24"/>
        </w:rPr>
        <w:t xml:space="preserve">Aðgerðaráætlun liggur fyrir og unnið er að því fá fjárheimildir til verksins.  </w:t>
      </w:r>
    </w:p>
    <w:p w:rsidR="007A3421" w:rsidRPr="007A3421" w:rsidRDefault="007A3421" w:rsidP="007A3421">
      <w:pPr>
        <w:pStyle w:val="PlainText"/>
        <w:ind w:left="708"/>
        <w:jc w:val="both"/>
        <w:rPr>
          <w:rFonts w:asciiTheme="minorHAnsi" w:hAnsiTheme="minorHAnsi" w:cs="Arial"/>
          <w:sz w:val="24"/>
          <w:szCs w:val="24"/>
        </w:rPr>
      </w:pPr>
    </w:p>
    <w:p w:rsidR="007A3421" w:rsidRDefault="007A3421" w:rsidP="007A3421">
      <w:pPr>
        <w:pStyle w:val="PlainText"/>
        <w:ind w:left="708"/>
        <w:jc w:val="both"/>
        <w:rPr>
          <w:rFonts w:asciiTheme="minorHAnsi" w:hAnsiTheme="minorHAnsi" w:cs="Arial"/>
          <w:sz w:val="24"/>
          <w:szCs w:val="24"/>
        </w:rPr>
      </w:pPr>
      <w:r w:rsidRPr="007A3421">
        <w:rPr>
          <w:rFonts w:asciiTheme="minorHAnsi" w:hAnsiTheme="minorHAnsi" w:cs="Arial"/>
          <w:sz w:val="24"/>
          <w:szCs w:val="24"/>
        </w:rPr>
        <w:t>Lýst er yfir fullu trausti á Tryggingastofnun og starfsmenn sem hafa tekið málið faglegum og traustum tökum.  Stjórn mun áfram fylgjast með þv</w:t>
      </w:r>
      <w:r w:rsidR="00FF2F69">
        <w:rPr>
          <w:rFonts w:asciiTheme="minorHAnsi" w:hAnsiTheme="minorHAnsi" w:cs="Arial"/>
          <w:sz w:val="24"/>
          <w:szCs w:val="24"/>
        </w:rPr>
        <w:t>í</w:t>
      </w:r>
      <w:r w:rsidRPr="007A3421">
        <w:rPr>
          <w:rFonts w:asciiTheme="minorHAnsi" w:hAnsiTheme="minorHAnsi" w:cs="Arial"/>
          <w:sz w:val="24"/>
          <w:szCs w:val="24"/>
        </w:rPr>
        <w:t xml:space="preserve"> að málið verði farsællega leyst eins fljótt og kostur er.</w:t>
      </w:r>
    </w:p>
    <w:p w:rsidR="00FF2F69" w:rsidRPr="007A3421" w:rsidRDefault="00FF2F69" w:rsidP="007A3421">
      <w:pPr>
        <w:pStyle w:val="PlainText"/>
        <w:ind w:left="708"/>
        <w:jc w:val="both"/>
        <w:rPr>
          <w:rFonts w:asciiTheme="minorHAnsi" w:hAnsiTheme="minorHAnsi" w:cs="Arial"/>
          <w:sz w:val="24"/>
          <w:szCs w:val="24"/>
        </w:rPr>
      </w:pPr>
    </w:p>
    <w:p w:rsidR="007A3421" w:rsidRDefault="007A3421" w:rsidP="001031CF">
      <w:pPr>
        <w:spacing w:after="0"/>
        <w:jc w:val="both"/>
        <w:rPr>
          <w:rFonts w:ascii="Times New Roman" w:hAnsi="Times New Roman" w:cs="Times New Roman"/>
          <w:b/>
          <w:sz w:val="28"/>
          <w:szCs w:val="28"/>
        </w:rPr>
      </w:pPr>
    </w:p>
    <w:p w:rsidR="00FF2F69" w:rsidRDefault="00FF2F69">
      <w:pPr>
        <w:rPr>
          <w:rFonts w:ascii="Times New Roman" w:hAnsi="Times New Roman" w:cs="Times New Roman"/>
          <w:b/>
          <w:sz w:val="28"/>
          <w:szCs w:val="28"/>
        </w:rPr>
      </w:pPr>
      <w:r>
        <w:rPr>
          <w:rFonts w:ascii="Times New Roman" w:hAnsi="Times New Roman" w:cs="Times New Roman"/>
          <w:b/>
          <w:sz w:val="28"/>
          <w:szCs w:val="28"/>
        </w:rPr>
        <w:br w:type="page"/>
      </w:r>
    </w:p>
    <w:p w:rsidR="007A3421" w:rsidRPr="007A3421" w:rsidRDefault="007A3421" w:rsidP="00FF2F69">
      <w:pPr>
        <w:spacing w:after="0"/>
        <w:jc w:val="both"/>
        <w:rPr>
          <w:rFonts w:ascii="Times New Roman" w:hAnsi="Times New Roman" w:cs="Times New Roman"/>
          <w:b/>
          <w:sz w:val="28"/>
          <w:szCs w:val="28"/>
        </w:rPr>
      </w:pPr>
      <w:r w:rsidRPr="007A3421">
        <w:rPr>
          <w:rFonts w:ascii="Times New Roman" w:hAnsi="Times New Roman" w:cs="Times New Roman"/>
          <w:b/>
          <w:sz w:val="28"/>
          <w:szCs w:val="28"/>
        </w:rPr>
        <w:lastRenderedPageBreak/>
        <w:t>Stutt reifun á úrskurðum ÚRAL sem nefndir eru í umræddu bréfi ÖBÍ.</w:t>
      </w:r>
    </w:p>
    <w:p w:rsidR="00265F67" w:rsidRPr="001031CF" w:rsidRDefault="00265F67" w:rsidP="001031CF">
      <w:pPr>
        <w:spacing w:after="0"/>
        <w:jc w:val="both"/>
        <w:rPr>
          <w:rFonts w:ascii="Times New Roman" w:hAnsi="Times New Roman" w:cs="Times New Roman"/>
          <w:sz w:val="24"/>
          <w:szCs w:val="24"/>
        </w:rPr>
      </w:pPr>
      <w:proofErr w:type="spellStart"/>
      <w:r w:rsidRPr="001031CF">
        <w:rPr>
          <w:rFonts w:ascii="Times New Roman" w:hAnsi="Times New Roman" w:cs="Times New Roman"/>
          <w:b/>
          <w:sz w:val="24"/>
          <w:szCs w:val="24"/>
        </w:rPr>
        <w:t>Úrsk</w:t>
      </w:r>
      <w:proofErr w:type="spellEnd"/>
      <w:r w:rsidRPr="001031CF">
        <w:rPr>
          <w:rFonts w:ascii="Times New Roman" w:hAnsi="Times New Roman" w:cs="Times New Roman"/>
          <w:b/>
          <w:sz w:val="24"/>
          <w:szCs w:val="24"/>
        </w:rPr>
        <w:t>. 178/2009</w:t>
      </w:r>
      <w:r w:rsidRPr="001031CF">
        <w:rPr>
          <w:rFonts w:ascii="Times New Roman" w:hAnsi="Times New Roman" w:cs="Times New Roman"/>
          <w:sz w:val="24"/>
          <w:szCs w:val="24"/>
        </w:rPr>
        <w:t xml:space="preserve"> </w:t>
      </w:r>
      <w:bookmarkEnd w:id="0"/>
      <w:r w:rsidRPr="001031CF">
        <w:rPr>
          <w:rFonts w:ascii="Times New Roman" w:hAnsi="Times New Roman" w:cs="Times New Roman"/>
          <w:sz w:val="24"/>
          <w:szCs w:val="24"/>
        </w:rPr>
        <w:t xml:space="preserve">– </w:t>
      </w:r>
      <w:r w:rsidRPr="001031CF">
        <w:rPr>
          <w:rFonts w:ascii="Times New Roman" w:hAnsi="Times New Roman" w:cs="Times New Roman"/>
          <w:b/>
          <w:sz w:val="24"/>
          <w:szCs w:val="24"/>
        </w:rPr>
        <w:t>Endurhæfingarlífeyri – varðar lög um félagslega aðstoð nr. 99/2007</w:t>
      </w:r>
    </w:p>
    <w:p w:rsidR="00265F67" w:rsidRPr="00265F67" w:rsidRDefault="00265F67" w:rsidP="00FF2F69">
      <w:pPr>
        <w:spacing w:after="120"/>
        <w:jc w:val="both"/>
        <w:outlineLvl w:val="1"/>
        <w:rPr>
          <w:rFonts w:ascii="Times New Roman" w:eastAsia="Times New Roman" w:hAnsi="Times New Roman" w:cs="Times New Roman"/>
          <w:bCs/>
          <w:sz w:val="24"/>
          <w:szCs w:val="24"/>
          <w:lang w:eastAsia="is-IS"/>
        </w:rPr>
      </w:pPr>
      <w:r w:rsidRPr="00265F67">
        <w:rPr>
          <w:rFonts w:ascii="Times New Roman" w:hAnsi="Times New Roman" w:cs="Times New Roman"/>
          <w:sz w:val="24"/>
          <w:szCs w:val="24"/>
        </w:rPr>
        <w:t>Úrskurður</w:t>
      </w:r>
      <w:r w:rsidR="001031CF">
        <w:rPr>
          <w:rFonts w:ascii="Times New Roman" w:hAnsi="Times New Roman" w:cs="Times New Roman"/>
          <w:sz w:val="24"/>
          <w:szCs w:val="24"/>
        </w:rPr>
        <w:t>inn</w:t>
      </w:r>
      <w:r w:rsidRPr="00265F67">
        <w:rPr>
          <w:rFonts w:ascii="Times New Roman" w:hAnsi="Times New Roman" w:cs="Times New Roman"/>
          <w:sz w:val="24"/>
          <w:szCs w:val="24"/>
        </w:rPr>
        <w:t xml:space="preserve"> varðaði </w:t>
      </w:r>
      <w:r w:rsidRPr="00265F67">
        <w:rPr>
          <w:rFonts w:ascii="Times New Roman" w:hAnsi="Times New Roman" w:cs="Times New Roman"/>
          <w:sz w:val="24"/>
          <w:szCs w:val="24"/>
          <w:u w:val="single"/>
        </w:rPr>
        <w:t>endurhæfingarlífeyrisþega</w:t>
      </w:r>
      <w:r w:rsidRPr="00265F67">
        <w:rPr>
          <w:rFonts w:ascii="Times New Roman" w:hAnsi="Times New Roman" w:cs="Times New Roman"/>
          <w:sz w:val="24"/>
          <w:szCs w:val="24"/>
        </w:rPr>
        <w:t xml:space="preserve"> sem hafði verið búsettur í öðru EES-ríki.  TR taldi rétt að reikna búsetu endurhæfingarlífeyrisþega á sambærilegan hátt og búseta örorkulífeyrisþega var reiknuð, þ.e. hlutfallslegan framtíðarútreikning. Endurhæfingarlífeyrir greiðist í samræmi við lög um félagslega aðstoð nr. 99/2007 en þar er vísað í 18. gr.almannatryggingalaga nr. 100/2007 varðandi búsetuútreikning eins og gert er varðandi búsetuútreikning hjá örorkulífeyrisþegum. </w:t>
      </w:r>
      <w:r w:rsidRPr="00265F67">
        <w:rPr>
          <w:rFonts w:ascii="Times New Roman" w:eastAsia="Times New Roman" w:hAnsi="Times New Roman" w:cs="Times New Roman"/>
          <w:bCs/>
          <w:sz w:val="24"/>
          <w:szCs w:val="24"/>
          <w:lang w:eastAsia="is-IS"/>
        </w:rPr>
        <w:t>Úrskurðarnefnd almannatrygginga komst að þeirri niðurstöðu að fella úr gildi ákvörðun Tryggingastofnunar um að skerða endurhæfingarlífeyri vegna framtíðarbúsetu erlendis.</w:t>
      </w:r>
    </w:p>
    <w:p w:rsidR="00265F67" w:rsidRPr="00265F67" w:rsidRDefault="00265F67" w:rsidP="00FF2F69">
      <w:pPr>
        <w:spacing w:after="120"/>
        <w:jc w:val="both"/>
        <w:rPr>
          <w:rFonts w:ascii="Times New Roman" w:hAnsi="Times New Roman" w:cs="Times New Roman"/>
          <w:sz w:val="24"/>
          <w:szCs w:val="24"/>
        </w:rPr>
      </w:pPr>
      <w:r w:rsidRPr="00265F67">
        <w:rPr>
          <w:rFonts w:ascii="Times New Roman" w:hAnsi="Times New Roman" w:cs="Times New Roman"/>
          <w:sz w:val="24"/>
          <w:szCs w:val="24"/>
        </w:rPr>
        <w:t>Í framhaldinu breytti TR framkvæmd sinni varðandi endurhæfingarlífeyri og hefur framreiknað búsetu án hlutfallsskiptingar, þ.e. með 100% áunnum framtíðarréttindum á Íslandi á meðan tímabundnar greiðslur endurhæfingarlífeyris eiga sér stað, að hámarki 36 mánuði.</w:t>
      </w:r>
    </w:p>
    <w:p w:rsidR="00265F67" w:rsidRPr="00265F67" w:rsidRDefault="00265F67" w:rsidP="001031CF">
      <w:pPr>
        <w:spacing w:after="0"/>
        <w:jc w:val="both"/>
        <w:rPr>
          <w:rFonts w:ascii="Times New Roman" w:hAnsi="Times New Roman" w:cs="Times New Roman"/>
          <w:b/>
          <w:sz w:val="24"/>
          <w:szCs w:val="24"/>
        </w:rPr>
      </w:pPr>
      <w:bookmarkStart w:id="2" w:name="_Hlk536612638"/>
      <w:proofErr w:type="spellStart"/>
      <w:r w:rsidRPr="00265F67">
        <w:rPr>
          <w:rFonts w:ascii="Times New Roman" w:hAnsi="Times New Roman" w:cs="Times New Roman"/>
          <w:b/>
          <w:sz w:val="24"/>
          <w:szCs w:val="24"/>
        </w:rPr>
        <w:t>Úrsk</w:t>
      </w:r>
      <w:proofErr w:type="spellEnd"/>
      <w:r w:rsidRPr="00265F67">
        <w:rPr>
          <w:rFonts w:ascii="Times New Roman" w:hAnsi="Times New Roman" w:cs="Times New Roman"/>
          <w:b/>
          <w:sz w:val="24"/>
          <w:szCs w:val="24"/>
        </w:rPr>
        <w:t xml:space="preserve">. 221/2009 </w:t>
      </w:r>
      <w:bookmarkEnd w:id="2"/>
      <w:r w:rsidRPr="00265F67">
        <w:rPr>
          <w:rFonts w:ascii="Times New Roman" w:hAnsi="Times New Roman" w:cs="Times New Roman"/>
          <w:b/>
          <w:sz w:val="24"/>
          <w:szCs w:val="24"/>
        </w:rPr>
        <w:t>- Útreikningur örorkulífeyris til aðila utan EES – varðar lög um almannatryggingar nr. 100/2007</w:t>
      </w:r>
    </w:p>
    <w:p w:rsidR="00265F67" w:rsidRPr="00265F67" w:rsidRDefault="00265F67" w:rsidP="00FF2F69">
      <w:pPr>
        <w:spacing w:after="120"/>
        <w:jc w:val="both"/>
        <w:rPr>
          <w:rFonts w:ascii="Times New Roman" w:hAnsi="Times New Roman" w:cs="Times New Roman"/>
          <w:sz w:val="24"/>
          <w:szCs w:val="24"/>
        </w:rPr>
      </w:pPr>
      <w:r w:rsidRPr="00265F67">
        <w:rPr>
          <w:rFonts w:ascii="Times New Roman" w:hAnsi="Times New Roman" w:cs="Times New Roman"/>
          <w:sz w:val="24"/>
          <w:szCs w:val="24"/>
        </w:rPr>
        <w:t xml:space="preserve">Úrskurðurinn varðaði örorkulífeyri kæranda sem kom frá landi </w:t>
      </w:r>
      <w:r w:rsidRPr="00265F67">
        <w:rPr>
          <w:rFonts w:ascii="Times New Roman" w:hAnsi="Times New Roman" w:cs="Times New Roman"/>
          <w:sz w:val="24"/>
          <w:szCs w:val="24"/>
          <w:u w:val="single"/>
        </w:rPr>
        <w:t>utan EES svæðisins</w:t>
      </w:r>
      <w:r w:rsidRPr="00265F67">
        <w:rPr>
          <w:rFonts w:ascii="Times New Roman" w:hAnsi="Times New Roman" w:cs="Times New Roman"/>
          <w:sz w:val="24"/>
          <w:szCs w:val="24"/>
        </w:rPr>
        <w:t xml:space="preserve"> og framtíðarútreikning hans. TR hafði samræmt verklagið og reiknað framtíðartímabil til samræmis við útreikninga innan EES svæðisins þ.e. hlutfallsreiknað einnig framtíðartímabil í stað þess að framreikna framtíðartímabil að fullu á Íslandi. Á það féllst ÚRAL ekki.  </w:t>
      </w:r>
    </w:p>
    <w:p w:rsidR="00265F67" w:rsidRPr="00265F67" w:rsidRDefault="00265F67" w:rsidP="00265F67">
      <w:pPr>
        <w:jc w:val="both"/>
        <w:rPr>
          <w:rFonts w:ascii="Times New Roman" w:hAnsi="Times New Roman" w:cs="Times New Roman"/>
          <w:sz w:val="24"/>
          <w:szCs w:val="24"/>
        </w:rPr>
      </w:pPr>
      <w:r w:rsidRPr="00265F67">
        <w:rPr>
          <w:rFonts w:ascii="Times New Roman" w:hAnsi="Times New Roman" w:cs="Times New Roman"/>
          <w:sz w:val="24"/>
          <w:szCs w:val="24"/>
        </w:rPr>
        <w:t xml:space="preserve">TR breytti því framkvæmdinni strax til fyrra horfs og hefur reiknað búsetu þeirra sem koma frá löndum utan EES án hlutfallsskiptingar, þ.e. með 100% áunnum framtíðarréttindum á Íslandi, enda ekki um samning um greiðslur frá heimalandi að ræða og greiðslur okkar falla niður við flutning til baka. </w:t>
      </w:r>
    </w:p>
    <w:p w:rsidR="00265F67" w:rsidRPr="00265F67" w:rsidRDefault="00265F67" w:rsidP="00FF2F69">
      <w:pPr>
        <w:spacing w:after="0"/>
        <w:jc w:val="both"/>
        <w:rPr>
          <w:rFonts w:ascii="Times New Roman" w:hAnsi="Times New Roman" w:cs="Times New Roman"/>
          <w:sz w:val="24"/>
          <w:szCs w:val="24"/>
        </w:rPr>
      </w:pPr>
      <w:bookmarkStart w:id="3" w:name="_Hlk536612687"/>
      <w:proofErr w:type="spellStart"/>
      <w:r w:rsidRPr="00265F67">
        <w:rPr>
          <w:rFonts w:ascii="Times New Roman" w:hAnsi="Times New Roman" w:cs="Times New Roman"/>
          <w:b/>
          <w:sz w:val="24"/>
          <w:szCs w:val="24"/>
        </w:rPr>
        <w:t>Úrsk</w:t>
      </w:r>
      <w:proofErr w:type="spellEnd"/>
      <w:r w:rsidRPr="00265F67">
        <w:rPr>
          <w:rFonts w:ascii="Times New Roman" w:hAnsi="Times New Roman" w:cs="Times New Roman"/>
          <w:b/>
          <w:sz w:val="24"/>
          <w:szCs w:val="24"/>
        </w:rPr>
        <w:t xml:space="preserve">. 287/2012 </w:t>
      </w:r>
      <w:bookmarkEnd w:id="3"/>
      <w:r w:rsidRPr="00265F67">
        <w:rPr>
          <w:rFonts w:ascii="Times New Roman" w:hAnsi="Times New Roman" w:cs="Times New Roman"/>
          <w:b/>
          <w:sz w:val="24"/>
          <w:szCs w:val="24"/>
        </w:rPr>
        <w:t>– Útreikningur örorkulífeyris til aðila innan EES – varðar lög um almannatryggingar nr. 100/2007 og EES samninginn - lauk með máli 338/2013</w:t>
      </w:r>
    </w:p>
    <w:p w:rsidR="00265F67" w:rsidRPr="00265F67" w:rsidRDefault="00265F67" w:rsidP="00FF2F69">
      <w:pPr>
        <w:spacing w:after="120"/>
        <w:jc w:val="both"/>
        <w:rPr>
          <w:rFonts w:ascii="Times New Roman" w:hAnsi="Times New Roman" w:cs="Times New Roman"/>
          <w:sz w:val="24"/>
          <w:szCs w:val="24"/>
        </w:rPr>
      </w:pPr>
      <w:r w:rsidRPr="00265F67">
        <w:rPr>
          <w:rFonts w:ascii="Times New Roman" w:hAnsi="Times New Roman" w:cs="Times New Roman"/>
          <w:sz w:val="24"/>
          <w:szCs w:val="24"/>
        </w:rPr>
        <w:t xml:space="preserve">Hér var kærumálið þannig að láðst hafði að skrá búsetu viðkomandi erlendis í upphafi afgreiðslu umsóknar. Þegar mistökin komu í ljós var honum send leiðrétting þar sem hann var reiknaður með hlutfallslega búsetu á Íslandi og framtíðarútreikningur var hlutfallslegur þar sem hann hafði búið í Danmörku og ætti því hlutfallslegan rétt þaðan.  ÚRVEL féllst ekki á ákvörðun TR en rökstuðningur fyrir niðurstöðunni var með vísan til forsendna í </w:t>
      </w:r>
      <w:bookmarkStart w:id="4" w:name="_Hlk536614416"/>
      <w:r w:rsidRPr="00265F67">
        <w:rPr>
          <w:rFonts w:ascii="Times New Roman" w:hAnsi="Times New Roman" w:cs="Times New Roman"/>
          <w:sz w:val="24"/>
          <w:szCs w:val="24"/>
        </w:rPr>
        <w:t>máli 221/2009</w:t>
      </w:r>
      <w:bookmarkEnd w:id="4"/>
      <w:r w:rsidRPr="00265F67">
        <w:rPr>
          <w:rFonts w:ascii="Times New Roman" w:hAnsi="Times New Roman" w:cs="Times New Roman"/>
          <w:sz w:val="24"/>
          <w:szCs w:val="24"/>
        </w:rPr>
        <w:t xml:space="preserve">. Eins og fram kemur hér að framan tók mál 221/2009 til einstaklings sem kom frá landi utan EES-svæðisins. </w:t>
      </w:r>
    </w:p>
    <w:p w:rsidR="00265F67" w:rsidRPr="00265F67" w:rsidRDefault="00265F67" w:rsidP="00FF2F69">
      <w:pPr>
        <w:spacing w:after="120"/>
        <w:jc w:val="both"/>
        <w:rPr>
          <w:rFonts w:ascii="Times New Roman" w:hAnsi="Times New Roman" w:cs="Times New Roman"/>
          <w:sz w:val="24"/>
          <w:szCs w:val="24"/>
        </w:rPr>
      </w:pPr>
      <w:r w:rsidRPr="00265F67">
        <w:rPr>
          <w:rFonts w:ascii="Times New Roman" w:hAnsi="Times New Roman" w:cs="Times New Roman"/>
          <w:sz w:val="24"/>
          <w:szCs w:val="24"/>
        </w:rPr>
        <w:t>TR breytti ákvörðun sinni gagnvart kæranda en fylgdi eftir umsókn hans um hlutfallslegar bætur frá Danmörku.  Danmörk féllst á að greiða bætur að hluta.  Þegar niðurstaðan lá fyrir endur</w:t>
      </w:r>
      <w:r w:rsidR="00FF2F69">
        <w:rPr>
          <w:rFonts w:ascii="Times New Roman" w:hAnsi="Times New Roman" w:cs="Times New Roman"/>
          <w:sz w:val="24"/>
          <w:szCs w:val="24"/>
        </w:rPr>
        <w:t xml:space="preserve"> </w:t>
      </w:r>
      <w:r w:rsidRPr="00265F67">
        <w:rPr>
          <w:rFonts w:ascii="Times New Roman" w:hAnsi="Times New Roman" w:cs="Times New Roman"/>
          <w:sz w:val="24"/>
          <w:szCs w:val="24"/>
        </w:rPr>
        <w:t xml:space="preserve">upptók TR málið og tilkynnti að lokaniðurstaðan væri sú að viðkomandi fengi hlutfallslegar bætur frá Íslandi þar sem hann fengi á móti hlutfallslegar bætur frá Danmörku. Þess skal getið að við þessa breytingu urðu samanlagðar bætur talsvert hærri en ef viðkomandi hefði einungis fengið bætur frá Íslandi þó svo að búseta hefði verið 100% framreiknuð á Íslandi.  </w:t>
      </w:r>
    </w:p>
    <w:p w:rsidR="005F108A" w:rsidRPr="00A85E40" w:rsidRDefault="00265F67" w:rsidP="00A85E40">
      <w:pPr>
        <w:jc w:val="both"/>
        <w:rPr>
          <w:rFonts w:ascii="Times New Roman" w:hAnsi="Times New Roman" w:cs="Times New Roman"/>
          <w:sz w:val="24"/>
          <w:szCs w:val="24"/>
        </w:rPr>
      </w:pPr>
      <w:r w:rsidRPr="00265F67">
        <w:rPr>
          <w:rFonts w:ascii="Times New Roman" w:hAnsi="Times New Roman" w:cs="Times New Roman"/>
          <w:sz w:val="24"/>
          <w:szCs w:val="24"/>
        </w:rPr>
        <w:t>Kærandi undi ekki nýrri ákvörðun TR og skaut málinu aftur til úrskurðarnefndarinnar. Úrskurðarnefndin kvað upp nýjan úrskurð í málinu (</w:t>
      </w:r>
      <w:proofErr w:type="spellStart"/>
      <w:r w:rsidRPr="00265F67">
        <w:rPr>
          <w:rFonts w:ascii="Times New Roman" w:hAnsi="Times New Roman" w:cs="Times New Roman"/>
          <w:b/>
          <w:sz w:val="24"/>
          <w:szCs w:val="24"/>
        </w:rPr>
        <w:t>Úrsk</w:t>
      </w:r>
      <w:proofErr w:type="spellEnd"/>
      <w:r w:rsidRPr="00265F67">
        <w:rPr>
          <w:rFonts w:ascii="Times New Roman" w:hAnsi="Times New Roman" w:cs="Times New Roman"/>
          <w:b/>
          <w:sz w:val="24"/>
          <w:szCs w:val="24"/>
        </w:rPr>
        <w:t>. 338/2013</w:t>
      </w:r>
      <w:r w:rsidRPr="00265F67">
        <w:rPr>
          <w:rFonts w:ascii="Times New Roman" w:hAnsi="Times New Roman" w:cs="Times New Roman"/>
          <w:sz w:val="24"/>
          <w:szCs w:val="24"/>
        </w:rPr>
        <w:t>) og staðfesti með honum nýja ákvörðun TR um hlutfallslegan útreikning.  Þar er m.a. vísað til forsögu málsins og fyrri úrskurða um sambærileg mál auk þess sem farið var yfir útreikninga TR. Vísað var einnig til heimildar TR í almannatryggingalögum um að endurskoða ákvarðanir sínar. Niðurstaðan var því sú að framkvæmd TR var staðfest</w:t>
      </w:r>
      <w:r w:rsidR="00A85E40">
        <w:rPr>
          <w:rFonts w:ascii="Times New Roman" w:hAnsi="Times New Roman" w:cs="Times New Roman"/>
          <w:sz w:val="24"/>
          <w:szCs w:val="24"/>
        </w:rPr>
        <w:t>.</w:t>
      </w:r>
    </w:p>
    <w:sectPr w:rsidR="005F108A" w:rsidRPr="00A85E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D2B5E"/>
    <w:multiLevelType w:val="hybridMultilevel"/>
    <w:tmpl w:val="DEA02A90"/>
    <w:lvl w:ilvl="0" w:tplc="E054A39A">
      <w:start w:val="1"/>
      <w:numFmt w:val="decimal"/>
      <w:lvlText w:val="%1."/>
      <w:lvlJc w:val="left"/>
      <w:pPr>
        <w:ind w:left="720" w:hanging="360"/>
      </w:pPr>
      <w:rPr>
        <w:rFonts w:hint="default"/>
        <w:b/>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 w15:restartNumberingAfterBreak="0">
    <w:nsid w:val="23426382"/>
    <w:multiLevelType w:val="hybridMultilevel"/>
    <w:tmpl w:val="C6649E74"/>
    <w:lvl w:ilvl="0" w:tplc="8F0088CE">
      <w:start w:val="1"/>
      <w:numFmt w:val="decimal"/>
      <w:lvlText w:val="%1."/>
      <w:lvlJc w:val="left"/>
      <w:pPr>
        <w:ind w:left="1080" w:hanging="360"/>
      </w:pPr>
      <w:rPr>
        <w:rFonts w:hint="default"/>
      </w:rPr>
    </w:lvl>
    <w:lvl w:ilvl="1" w:tplc="040F0019" w:tentative="1">
      <w:start w:val="1"/>
      <w:numFmt w:val="lowerLetter"/>
      <w:lvlText w:val="%2."/>
      <w:lvlJc w:val="left"/>
      <w:pPr>
        <w:ind w:left="1800" w:hanging="360"/>
      </w:pPr>
    </w:lvl>
    <w:lvl w:ilvl="2" w:tplc="040F001B" w:tentative="1">
      <w:start w:val="1"/>
      <w:numFmt w:val="lowerRoman"/>
      <w:lvlText w:val="%3."/>
      <w:lvlJc w:val="right"/>
      <w:pPr>
        <w:ind w:left="2520" w:hanging="180"/>
      </w:pPr>
    </w:lvl>
    <w:lvl w:ilvl="3" w:tplc="040F000F" w:tentative="1">
      <w:start w:val="1"/>
      <w:numFmt w:val="decimal"/>
      <w:lvlText w:val="%4."/>
      <w:lvlJc w:val="left"/>
      <w:pPr>
        <w:ind w:left="3240" w:hanging="360"/>
      </w:pPr>
    </w:lvl>
    <w:lvl w:ilvl="4" w:tplc="040F0019" w:tentative="1">
      <w:start w:val="1"/>
      <w:numFmt w:val="lowerLetter"/>
      <w:lvlText w:val="%5."/>
      <w:lvlJc w:val="left"/>
      <w:pPr>
        <w:ind w:left="3960" w:hanging="360"/>
      </w:pPr>
    </w:lvl>
    <w:lvl w:ilvl="5" w:tplc="040F001B" w:tentative="1">
      <w:start w:val="1"/>
      <w:numFmt w:val="lowerRoman"/>
      <w:lvlText w:val="%6."/>
      <w:lvlJc w:val="right"/>
      <w:pPr>
        <w:ind w:left="4680" w:hanging="180"/>
      </w:pPr>
    </w:lvl>
    <w:lvl w:ilvl="6" w:tplc="040F000F" w:tentative="1">
      <w:start w:val="1"/>
      <w:numFmt w:val="decimal"/>
      <w:lvlText w:val="%7."/>
      <w:lvlJc w:val="left"/>
      <w:pPr>
        <w:ind w:left="5400" w:hanging="360"/>
      </w:pPr>
    </w:lvl>
    <w:lvl w:ilvl="7" w:tplc="040F0019" w:tentative="1">
      <w:start w:val="1"/>
      <w:numFmt w:val="lowerLetter"/>
      <w:lvlText w:val="%8."/>
      <w:lvlJc w:val="left"/>
      <w:pPr>
        <w:ind w:left="6120" w:hanging="360"/>
      </w:pPr>
    </w:lvl>
    <w:lvl w:ilvl="8" w:tplc="040F001B" w:tentative="1">
      <w:start w:val="1"/>
      <w:numFmt w:val="lowerRoman"/>
      <w:lvlText w:val="%9."/>
      <w:lvlJc w:val="right"/>
      <w:pPr>
        <w:ind w:left="6840" w:hanging="180"/>
      </w:pPr>
    </w:lvl>
  </w:abstractNum>
  <w:abstractNum w:abstractNumId="2" w15:restartNumberingAfterBreak="0">
    <w:nsid w:val="2A496468"/>
    <w:multiLevelType w:val="hybridMultilevel"/>
    <w:tmpl w:val="75B2C4BA"/>
    <w:lvl w:ilvl="0" w:tplc="DF627348">
      <w:start w:val="1"/>
      <w:numFmt w:val="decimal"/>
      <w:lvlText w:val="%1."/>
      <w:lvlJc w:val="left"/>
      <w:pPr>
        <w:ind w:left="720" w:hanging="360"/>
      </w:pPr>
      <w:rPr>
        <w:rFonts w:hint="default"/>
        <w:b/>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49CB3E07"/>
    <w:multiLevelType w:val="hybridMultilevel"/>
    <w:tmpl w:val="26C810A8"/>
    <w:lvl w:ilvl="0" w:tplc="DF627348">
      <w:start w:val="1"/>
      <w:numFmt w:val="decimal"/>
      <w:lvlText w:val="%1."/>
      <w:lvlJc w:val="left"/>
      <w:pPr>
        <w:ind w:left="720" w:hanging="360"/>
      </w:pPr>
      <w:rPr>
        <w:rFonts w:hint="default"/>
        <w:b/>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4C035908"/>
    <w:multiLevelType w:val="hybridMultilevel"/>
    <w:tmpl w:val="4E36C7C4"/>
    <w:lvl w:ilvl="0" w:tplc="9F3AFAA6">
      <w:start w:val="1"/>
      <w:numFmt w:val="decimal"/>
      <w:lvlText w:val="%1."/>
      <w:lvlJc w:val="left"/>
      <w:pPr>
        <w:ind w:left="720" w:hanging="360"/>
      </w:pPr>
      <w:rPr>
        <w:rFonts w:hint="default"/>
        <w:b/>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5" w15:restartNumberingAfterBreak="0">
    <w:nsid w:val="693E34C2"/>
    <w:multiLevelType w:val="hybridMultilevel"/>
    <w:tmpl w:val="49466A98"/>
    <w:lvl w:ilvl="0" w:tplc="040F000F">
      <w:start w:val="3"/>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5FC"/>
    <w:rsid w:val="00001463"/>
    <w:rsid w:val="000E75FC"/>
    <w:rsid w:val="001031CF"/>
    <w:rsid w:val="00216287"/>
    <w:rsid w:val="00265F67"/>
    <w:rsid w:val="00481193"/>
    <w:rsid w:val="005F108A"/>
    <w:rsid w:val="007A3421"/>
    <w:rsid w:val="009C21A2"/>
    <w:rsid w:val="00A85E40"/>
    <w:rsid w:val="00C03931"/>
    <w:rsid w:val="00CB4AE6"/>
    <w:rsid w:val="00DC4EB2"/>
    <w:rsid w:val="00E701ED"/>
    <w:rsid w:val="00F55EF3"/>
    <w:rsid w:val="00FF2F6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D368"/>
  <w15:chartTrackingRefBased/>
  <w15:docId w15:val="{0EA356B0-09BA-4DD3-B4DA-FB0C7F263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5FC"/>
    <w:pPr>
      <w:spacing w:after="200" w:line="276" w:lineRule="auto"/>
      <w:ind w:left="720"/>
      <w:contextualSpacing/>
    </w:pPr>
  </w:style>
  <w:style w:type="paragraph" w:styleId="PlainText">
    <w:name w:val="Plain Text"/>
    <w:basedOn w:val="Normal"/>
    <w:link w:val="PlainTextChar"/>
    <w:uiPriority w:val="99"/>
    <w:unhideWhenUsed/>
    <w:rsid w:val="000E75F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E75FC"/>
    <w:rPr>
      <w:rFonts w:ascii="Calibri" w:hAnsi="Calibri"/>
      <w:szCs w:val="21"/>
    </w:rPr>
  </w:style>
  <w:style w:type="paragraph" w:styleId="BalloonText">
    <w:name w:val="Balloon Text"/>
    <w:basedOn w:val="Normal"/>
    <w:link w:val="BalloonTextChar"/>
    <w:uiPriority w:val="99"/>
    <w:semiHidden/>
    <w:unhideWhenUsed/>
    <w:rsid w:val="00A85E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E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Ragna Haraldsdóttir</dc:creator>
  <cp:keywords/>
  <dc:description/>
  <cp:lastModifiedBy>Sigríður Lillý Baldursdóttir</cp:lastModifiedBy>
  <cp:revision>2</cp:revision>
  <cp:lastPrinted>2019-01-30T18:52:00Z</cp:lastPrinted>
  <dcterms:created xsi:type="dcterms:W3CDTF">2019-01-30T19:01:00Z</dcterms:created>
  <dcterms:modified xsi:type="dcterms:W3CDTF">2019-01-30T19:01:00Z</dcterms:modified>
</cp:coreProperties>
</file>