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A5" w:rsidRDefault="00CB16A5" w:rsidP="005C6995">
      <w:pPr>
        <w:spacing w:after="0" w:line="240" w:lineRule="auto"/>
        <w:jc w:val="both"/>
        <w:rPr>
          <w:rFonts w:ascii="Arial" w:hAnsi="Arial" w:cs="Arial"/>
          <w:sz w:val="24"/>
          <w:szCs w:val="24"/>
        </w:rPr>
      </w:pPr>
      <w:bookmarkStart w:id="0" w:name="_GoBack"/>
      <w:bookmarkEnd w:id="0"/>
    </w:p>
    <w:p w:rsidR="00CB16A5" w:rsidRDefault="00CB16A5" w:rsidP="005C6995">
      <w:pPr>
        <w:spacing w:after="0" w:line="240" w:lineRule="auto"/>
        <w:jc w:val="both"/>
        <w:rPr>
          <w:rFonts w:ascii="Arial" w:hAnsi="Arial" w:cs="Arial"/>
          <w:sz w:val="24"/>
          <w:szCs w:val="24"/>
        </w:rPr>
      </w:pPr>
    </w:p>
    <w:p w:rsidR="00CB16A5" w:rsidRDefault="00CB16A5" w:rsidP="005C6995">
      <w:pPr>
        <w:spacing w:after="0" w:line="240" w:lineRule="auto"/>
        <w:jc w:val="both"/>
        <w:rPr>
          <w:rFonts w:ascii="Arial" w:hAnsi="Arial" w:cs="Arial"/>
          <w:sz w:val="24"/>
          <w:szCs w:val="24"/>
        </w:rPr>
      </w:pPr>
      <w:r w:rsidRPr="00F82C64">
        <w:rPr>
          <w:rFonts w:ascii="Arial" w:hAnsi="Arial" w:cs="Arial"/>
          <w:sz w:val="24"/>
          <w:szCs w:val="24"/>
        </w:rPr>
        <w:t>Nefndasvið Alþingis</w:t>
      </w:r>
    </w:p>
    <w:p w:rsidR="00CB16A5" w:rsidRPr="00F82C64" w:rsidRDefault="00CB16A5" w:rsidP="005C6995">
      <w:pPr>
        <w:spacing w:after="0" w:line="240" w:lineRule="auto"/>
        <w:jc w:val="both"/>
        <w:rPr>
          <w:rFonts w:ascii="Arial" w:hAnsi="Arial" w:cs="Arial"/>
          <w:sz w:val="24"/>
          <w:szCs w:val="24"/>
        </w:rPr>
      </w:pPr>
      <w:r>
        <w:rPr>
          <w:rFonts w:ascii="Arial" w:hAnsi="Arial" w:cs="Arial"/>
          <w:sz w:val="24"/>
          <w:szCs w:val="24"/>
        </w:rPr>
        <w:t>Velferðarnefnd</w:t>
      </w:r>
    </w:p>
    <w:p w:rsidR="00CB16A5" w:rsidRPr="00F82C64" w:rsidRDefault="00CB16A5" w:rsidP="005C6995">
      <w:pPr>
        <w:spacing w:after="0" w:line="240" w:lineRule="auto"/>
        <w:jc w:val="both"/>
        <w:rPr>
          <w:rFonts w:ascii="Arial" w:hAnsi="Arial" w:cs="Arial"/>
          <w:sz w:val="24"/>
          <w:szCs w:val="24"/>
        </w:rPr>
      </w:pPr>
      <w:r w:rsidRPr="00F82C64">
        <w:rPr>
          <w:rFonts w:ascii="Arial" w:hAnsi="Arial" w:cs="Arial"/>
          <w:sz w:val="24"/>
          <w:szCs w:val="24"/>
        </w:rPr>
        <w:t>Austurstræti 8-10</w:t>
      </w:r>
    </w:p>
    <w:p w:rsidR="00CB16A5" w:rsidRDefault="00CB16A5" w:rsidP="005C6995">
      <w:pPr>
        <w:spacing w:after="0" w:line="240" w:lineRule="auto"/>
        <w:jc w:val="both"/>
        <w:rPr>
          <w:rFonts w:ascii="Arial" w:hAnsi="Arial" w:cs="Arial"/>
          <w:sz w:val="24"/>
          <w:szCs w:val="24"/>
        </w:rPr>
      </w:pPr>
      <w:r w:rsidRPr="00F82C64">
        <w:rPr>
          <w:rFonts w:ascii="Arial" w:hAnsi="Arial" w:cs="Arial"/>
          <w:sz w:val="24"/>
          <w:szCs w:val="24"/>
        </w:rPr>
        <w:t>150 Reykjavík</w:t>
      </w:r>
    </w:p>
    <w:p w:rsidR="00CB16A5" w:rsidRDefault="00072B77" w:rsidP="005C6995">
      <w:pPr>
        <w:spacing w:after="0" w:line="240" w:lineRule="auto"/>
        <w:jc w:val="right"/>
        <w:rPr>
          <w:rFonts w:ascii="Arial" w:hAnsi="Arial" w:cs="Arial"/>
          <w:sz w:val="24"/>
          <w:szCs w:val="24"/>
        </w:rPr>
        <w:sectPr w:rsidR="00CB16A5" w:rsidSect="00CB16A5">
          <w:footerReference w:type="default" r:id="rId8"/>
          <w:pgSz w:w="11906" w:h="16838"/>
          <w:pgMar w:top="1417" w:right="1417" w:bottom="1417" w:left="1417" w:header="708" w:footer="708" w:gutter="0"/>
          <w:cols w:num="2" w:space="708"/>
          <w:docGrid w:linePitch="360"/>
        </w:sectPr>
      </w:pPr>
      <w:r w:rsidRPr="006707E3">
        <w:rPr>
          <w:rFonts w:ascii="Arial" w:hAnsi="Arial" w:cs="Arial"/>
          <w:noProof/>
          <w:sz w:val="24"/>
          <w:szCs w:val="24"/>
          <w:highlight w:val="yellow"/>
          <w:lang w:eastAsia="is-IS"/>
        </w:rPr>
        <w:drawing>
          <wp:inline distT="0" distB="0" distL="0" distR="0" wp14:anchorId="2F064BEB" wp14:editId="1F9B31A4">
            <wp:extent cx="9144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13105"/>
                    </a:xfrm>
                    <a:prstGeom prst="rect">
                      <a:avLst/>
                    </a:prstGeom>
                    <a:noFill/>
                  </pic:spPr>
                </pic:pic>
              </a:graphicData>
            </a:graphic>
          </wp:inline>
        </w:drawing>
      </w:r>
    </w:p>
    <w:p w:rsidR="000C39D8" w:rsidRDefault="000C39D8" w:rsidP="005C6995">
      <w:pPr>
        <w:spacing w:after="0" w:line="240" w:lineRule="auto"/>
        <w:jc w:val="both"/>
        <w:rPr>
          <w:rFonts w:ascii="Arial" w:hAnsi="Arial" w:cs="Arial"/>
          <w:sz w:val="24"/>
          <w:szCs w:val="24"/>
        </w:rPr>
      </w:pPr>
    </w:p>
    <w:p w:rsidR="000C39D8" w:rsidRDefault="000C39D8" w:rsidP="005C6995">
      <w:pPr>
        <w:spacing w:after="0" w:line="240" w:lineRule="auto"/>
        <w:jc w:val="both"/>
        <w:rPr>
          <w:rFonts w:ascii="Arial" w:hAnsi="Arial" w:cs="Arial"/>
          <w:sz w:val="24"/>
          <w:szCs w:val="24"/>
        </w:rPr>
      </w:pPr>
    </w:p>
    <w:p w:rsidR="00B7364E" w:rsidRDefault="00B7364E" w:rsidP="005C6995">
      <w:pPr>
        <w:spacing w:after="0" w:line="360" w:lineRule="auto"/>
        <w:jc w:val="right"/>
        <w:rPr>
          <w:rFonts w:ascii="Arial" w:hAnsi="Arial" w:cs="Arial"/>
          <w:sz w:val="24"/>
          <w:szCs w:val="24"/>
        </w:rPr>
      </w:pPr>
    </w:p>
    <w:p w:rsidR="00072B77" w:rsidRDefault="00072B77" w:rsidP="005C6995">
      <w:pPr>
        <w:spacing w:after="0" w:line="360" w:lineRule="auto"/>
        <w:jc w:val="right"/>
        <w:rPr>
          <w:rFonts w:ascii="Arial" w:hAnsi="Arial" w:cs="Arial"/>
          <w:sz w:val="24"/>
          <w:szCs w:val="24"/>
        </w:rPr>
      </w:pPr>
      <w:r w:rsidRPr="00F82C64">
        <w:rPr>
          <w:rFonts w:ascii="Arial" w:hAnsi="Arial" w:cs="Arial"/>
          <w:sz w:val="24"/>
          <w:szCs w:val="24"/>
        </w:rPr>
        <w:t xml:space="preserve">Reykjavík, </w:t>
      </w:r>
      <w:r w:rsidR="009357E2">
        <w:rPr>
          <w:rFonts w:ascii="Arial" w:hAnsi="Arial" w:cs="Arial"/>
          <w:sz w:val="24"/>
          <w:szCs w:val="24"/>
        </w:rPr>
        <w:t>29</w:t>
      </w:r>
      <w:r w:rsidR="0078034B">
        <w:rPr>
          <w:rFonts w:ascii="Arial" w:hAnsi="Arial" w:cs="Arial"/>
          <w:sz w:val="24"/>
          <w:szCs w:val="24"/>
        </w:rPr>
        <w:t>. mars</w:t>
      </w:r>
      <w:r w:rsidR="000842D7">
        <w:rPr>
          <w:rFonts w:ascii="Arial" w:hAnsi="Arial" w:cs="Arial"/>
          <w:sz w:val="24"/>
          <w:szCs w:val="24"/>
        </w:rPr>
        <w:t xml:space="preserve"> 201</w:t>
      </w:r>
      <w:r w:rsidR="00B520C5">
        <w:rPr>
          <w:rFonts w:ascii="Arial" w:hAnsi="Arial" w:cs="Arial"/>
          <w:sz w:val="24"/>
          <w:szCs w:val="24"/>
        </w:rPr>
        <w:t>6</w:t>
      </w:r>
    </w:p>
    <w:p w:rsidR="00072B77" w:rsidRDefault="00072B77" w:rsidP="005C6995">
      <w:pPr>
        <w:spacing w:after="0" w:line="360" w:lineRule="auto"/>
        <w:jc w:val="both"/>
        <w:rPr>
          <w:rFonts w:ascii="Arial" w:hAnsi="Arial" w:cs="Arial"/>
          <w:sz w:val="24"/>
          <w:szCs w:val="24"/>
        </w:rPr>
      </w:pPr>
    </w:p>
    <w:p w:rsidR="00600D2E" w:rsidRDefault="00600D2E" w:rsidP="005C6995">
      <w:pPr>
        <w:spacing w:after="0" w:line="360" w:lineRule="auto"/>
        <w:jc w:val="both"/>
        <w:rPr>
          <w:rFonts w:ascii="Arial" w:hAnsi="Arial" w:cs="Arial"/>
          <w:sz w:val="24"/>
          <w:szCs w:val="24"/>
        </w:rPr>
      </w:pPr>
    </w:p>
    <w:p w:rsidR="008F2D27" w:rsidRPr="00C30378" w:rsidRDefault="00072B77" w:rsidP="005C6995">
      <w:pPr>
        <w:tabs>
          <w:tab w:val="left" w:pos="2694"/>
        </w:tabs>
        <w:spacing w:after="0"/>
        <w:jc w:val="both"/>
        <w:rPr>
          <w:rFonts w:ascii="Arial" w:hAnsi="Arial" w:cs="Arial"/>
          <w:b/>
          <w:sz w:val="24"/>
          <w:szCs w:val="24"/>
        </w:rPr>
      </w:pPr>
      <w:r w:rsidRPr="00C30378">
        <w:rPr>
          <w:rFonts w:ascii="Arial" w:hAnsi="Arial" w:cs="Arial"/>
          <w:b/>
          <w:sz w:val="24"/>
          <w:szCs w:val="24"/>
        </w:rPr>
        <w:t xml:space="preserve">Umsögn Öryrkjabandalags Íslands </w:t>
      </w:r>
      <w:r w:rsidR="00E34E55" w:rsidRPr="00C30378">
        <w:rPr>
          <w:rFonts w:ascii="Arial" w:hAnsi="Arial" w:cs="Arial"/>
          <w:b/>
          <w:sz w:val="24"/>
          <w:szCs w:val="24"/>
        </w:rPr>
        <w:t>(ÖBÍ)</w:t>
      </w:r>
      <w:r w:rsidR="00C30378" w:rsidRPr="00C30378">
        <w:rPr>
          <w:rFonts w:ascii="Arial" w:hAnsi="Arial" w:cs="Arial"/>
          <w:b/>
          <w:sz w:val="24"/>
          <w:szCs w:val="24"/>
        </w:rPr>
        <w:t xml:space="preserve"> um</w:t>
      </w:r>
      <w:r w:rsidR="00E34E55" w:rsidRPr="00C30378">
        <w:rPr>
          <w:rFonts w:ascii="Arial" w:hAnsi="Arial" w:cs="Arial"/>
          <w:b/>
          <w:sz w:val="24"/>
          <w:szCs w:val="24"/>
        </w:rPr>
        <w:t xml:space="preserve"> </w:t>
      </w:r>
      <w:r w:rsidR="00C30378" w:rsidRPr="00C30378">
        <w:rPr>
          <w:rFonts w:ascii="Arial" w:hAnsi="Arial" w:cs="Arial"/>
          <w:b/>
          <w:bCs/>
          <w:sz w:val="24"/>
          <w:szCs w:val="24"/>
        </w:rPr>
        <w:t>frumvarp til laga um breytingu á lögum um sjúkratryggingar, nr. 112/2008. Þingskjal 1104 – 676. mál.</w:t>
      </w:r>
    </w:p>
    <w:p w:rsidR="00600D2E" w:rsidRDefault="00600D2E" w:rsidP="005C6995">
      <w:pPr>
        <w:tabs>
          <w:tab w:val="left" w:pos="2694"/>
        </w:tabs>
        <w:spacing w:after="0"/>
        <w:contextualSpacing/>
        <w:jc w:val="both"/>
        <w:rPr>
          <w:rFonts w:ascii="Arial" w:hAnsi="Arial" w:cs="Arial"/>
          <w:b/>
          <w:sz w:val="24"/>
          <w:szCs w:val="24"/>
        </w:rPr>
      </w:pPr>
    </w:p>
    <w:p w:rsidR="00C30378" w:rsidRPr="004C21F4" w:rsidRDefault="00C30378" w:rsidP="00C30378">
      <w:pPr>
        <w:rPr>
          <w:rFonts w:ascii="Arial" w:hAnsi="Arial" w:cs="Arial"/>
          <w:sz w:val="24"/>
          <w:szCs w:val="24"/>
        </w:rPr>
      </w:pPr>
      <w:r w:rsidRPr="004C21F4">
        <w:rPr>
          <w:rFonts w:ascii="Arial" w:hAnsi="Arial" w:cs="Arial"/>
          <w:sz w:val="24"/>
          <w:szCs w:val="24"/>
        </w:rPr>
        <w:t>Heilbrigðisráðherra hefur lagt fram frumvarp til laga um breytingu á lögum um sjúkratryggingar, nr. 112/2008, með síðari breytingum (hámarksgreiðslur sjúkratryggðra og þjónustustýring), sem kveður á um nýtt greiðsluþátttökukerfi fyrir heilbrigðisþjónustu. Yfirlýst meginmarkmið frumvarpsins er að hlífa þeim sem þurfa á mikilli heilbrigðisþjónustu að halda fyrir háum kostnaði og jafna greiðslubyrði sjúkratryggðra.</w:t>
      </w:r>
    </w:p>
    <w:p w:rsidR="00C30378" w:rsidRPr="004C21F4" w:rsidRDefault="00C30378" w:rsidP="00C30378">
      <w:pPr>
        <w:rPr>
          <w:rFonts w:ascii="Arial" w:hAnsi="Arial" w:cs="Arial"/>
          <w:sz w:val="24"/>
          <w:szCs w:val="24"/>
        </w:rPr>
      </w:pPr>
      <w:r w:rsidRPr="004C21F4">
        <w:rPr>
          <w:rFonts w:ascii="Arial" w:hAnsi="Arial" w:cs="Arial"/>
          <w:sz w:val="24"/>
          <w:szCs w:val="24"/>
        </w:rPr>
        <w:t>Öryrkjabandalag Íslands (ÖBÍ) gerir eftirfarandi athugasemdir við frumvarpið.</w:t>
      </w:r>
    </w:p>
    <w:p w:rsidR="00C30378" w:rsidRPr="004C21F4" w:rsidRDefault="00C30378" w:rsidP="00C30378">
      <w:pPr>
        <w:rPr>
          <w:rFonts w:ascii="Arial" w:hAnsi="Arial" w:cs="Arial"/>
          <w:b/>
          <w:sz w:val="24"/>
          <w:szCs w:val="24"/>
        </w:rPr>
      </w:pPr>
      <w:r w:rsidRPr="004C21F4">
        <w:rPr>
          <w:rFonts w:ascii="Arial" w:hAnsi="Arial" w:cs="Arial"/>
          <w:b/>
          <w:sz w:val="24"/>
          <w:szCs w:val="24"/>
        </w:rPr>
        <w:t>Almennt um frumvarpið</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Í dag er heilbrigðisþjónusta byggð upp sem mörg mismunandi kerfi, sem eru ógegnsæ og flókin. Í frumvarpinu eru mismunandi kerfi sameinuð undir einu þaki með kostnaðarhámarki fyrir notendur. Auk þess er greiðslukerfi sérgreinalæknisþjónustu einfaldað. Það ber að virða. </w:t>
      </w:r>
    </w:p>
    <w:p w:rsidR="00C30378" w:rsidRPr="004C21F4" w:rsidRDefault="00C30378" w:rsidP="00C30378">
      <w:pPr>
        <w:rPr>
          <w:rFonts w:ascii="Arial" w:hAnsi="Arial" w:cs="Arial"/>
          <w:sz w:val="24"/>
          <w:szCs w:val="24"/>
        </w:rPr>
      </w:pPr>
      <w:r w:rsidRPr="004C21F4">
        <w:rPr>
          <w:rFonts w:ascii="Arial" w:hAnsi="Arial" w:cs="Arial"/>
          <w:sz w:val="24"/>
          <w:szCs w:val="24"/>
        </w:rPr>
        <w:t>Ennfremur miðast nýja greiðsluþátttökukerfið ekki við almanaksárið heldur er tekinn í notkun svokallaður afsláttarstofn. Það ber einnig að virða.</w:t>
      </w:r>
    </w:p>
    <w:p w:rsidR="00C30378" w:rsidRPr="004C21F4" w:rsidRDefault="00C30378" w:rsidP="00C30378">
      <w:pPr>
        <w:rPr>
          <w:rFonts w:ascii="Arial" w:hAnsi="Arial" w:cs="Arial"/>
          <w:sz w:val="24"/>
          <w:szCs w:val="24"/>
        </w:rPr>
      </w:pPr>
      <w:r w:rsidRPr="004C21F4">
        <w:rPr>
          <w:rFonts w:ascii="Arial" w:hAnsi="Arial" w:cs="Arial"/>
          <w:sz w:val="24"/>
          <w:szCs w:val="24"/>
        </w:rPr>
        <w:t>Sjúkra</w:t>
      </w:r>
      <w:r w:rsidR="00464F4B">
        <w:rPr>
          <w:rFonts w:ascii="Arial" w:hAnsi="Arial" w:cs="Arial"/>
          <w:sz w:val="24"/>
          <w:szCs w:val="24"/>
        </w:rPr>
        <w:t>-</w:t>
      </w:r>
      <w:r w:rsidRPr="004C21F4">
        <w:rPr>
          <w:rFonts w:ascii="Arial" w:hAnsi="Arial" w:cs="Arial"/>
          <w:sz w:val="24"/>
          <w:szCs w:val="24"/>
        </w:rPr>
        <w:t>, tal</w:t>
      </w:r>
      <w:r w:rsidR="00464F4B">
        <w:rPr>
          <w:rFonts w:ascii="Arial" w:hAnsi="Arial" w:cs="Arial"/>
          <w:sz w:val="24"/>
          <w:szCs w:val="24"/>
        </w:rPr>
        <w:t>-</w:t>
      </w:r>
      <w:r w:rsidRPr="004C21F4">
        <w:rPr>
          <w:rFonts w:ascii="Arial" w:hAnsi="Arial" w:cs="Arial"/>
          <w:sz w:val="24"/>
          <w:szCs w:val="24"/>
        </w:rPr>
        <w:t xml:space="preserve"> og iðjuþjálfun er inni í þessu kerfi, sem lengi hefur verið barist fyrir.</w:t>
      </w:r>
    </w:p>
    <w:p w:rsidR="00C30378" w:rsidRPr="004C21F4" w:rsidRDefault="00C30378" w:rsidP="00C30378">
      <w:pPr>
        <w:rPr>
          <w:rFonts w:ascii="Arial" w:hAnsi="Arial" w:cs="Arial"/>
          <w:sz w:val="24"/>
          <w:szCs w:val="24"/>
        </w:rPr>
      </w:pPr>
      <w:r w:rsidRPr="004C21F4">
        <w:rPr>
          <w:rFonts w:ascii="Arial" w:hAnsi="Arial" w:cs="Arial"/>
          <w:sz w:val="24"/>
          <w:szCs w:val="24"/>
        </w:rPr>
        <w:t>Hámarksgreiðslur eru þó alltof háar og enn vantar talsvert upp á að allur heilbrigðiskostnaður falli undir greiðsluþátttökukerfi heilbrigðisþjónustu og lyfja. Kostnaður einstaklings getur því verið mun meiri en þakið segir til um.</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Ríkissjóður leggur ekki til  fjármagn með kerfisbreytingunum og því er gert ráð fyrir að kostnaðurinn færist milli sjúklinga og meirihluti sjúkratryggðra mun þurfa að greiða talsvert hærra gjald fyrir heilbrigðisþjónustu en áður. Það er óásættanlegt. </w:t>
      </w:r>
    </w:p>
    <w:p w:rsidR="00C30378" w:rsidRPr="004C21F4" w:rsidRDefault="00C30378" w:rsidP="00C30378">
      <w:pPr>
        <w:rPr>
          <w:rFonts w:ascii="Arial" w:hAnsi="Arial" w:cs="Arial"/>
          <w:b/>
          <w:sz w:val="24"/>
          <w:szCs w:val="24"/>
        </w:rPr>
      </w:pPr>
    </w:p>
    <w:p w:rsidR="00C30378" w:rsidRPr="004C21F4" w:rsidRDefault="00C30378" w:rsidP="00C30378">
      <w:pPr>
        <w:rPr>
          <w:rFonts w:ascii="Arial" w:hAnsi="Arial" w:cs="Arial"/>
          <w:b/>
          <w:sz w:val="24"/>
          <w:szCs w:val="24"/>
        </w:rPr>
      </w:pPr>
      <w:r w:rsidRPr="004C21F4">
        <w:rPr>
          <w:rFonts w:ascii="Arial" w:hAnsi="Arial" w:cs="Arial"/>
          <w:b/>
          <w:sz w:val="24"/>
          <w:szCs w:val="24"/>
        </w:rPr>
        <w:t>Um einstaka þætti frumvarpsins</w:t>
      </w:r>
    </w:p>
    <w:p w:rsidR="00C30378" w:rsidRPr="004C21F4" w:rsidRDefault="00C30378" w:rsidP="00C30378">
      <w:pPr>
        <w:rPr>
          <w:rFonts w:ascii="Arial" w:hAnsi="Arial" w:cs="Arial"/>
          <w:b/>
          <w:sz w:val="24"/>
          <w:szCs w:val="24"/>
        </w:rPr>
      </w:pPr>
      <w:r w:rsidRPr="004C21F4">
        <w:rPr>
          <w:rFonts w:ascii="Arial" w:hAnsi="Arial" w:cs="Arial"/>
          <w:b/>
          <w:sz w:val="24"/>
          <w:szCs w:val="24"/>
        </w:rPr>
        <w:lastRenderedPageBreak/>
        <w:t>Kerfið</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Samkvæmt frumvarpinu verður greiðsluþátttökukerfi í heilbrigðisþjónustu greiðslujöfnunarkerfi, svokallað PHB-kerfi, ólíkt greiðsluþátttökukerfi lyfja sem er þrepaskipt kerfi. Þó verður hópaskipting sjúkratryggðra með sama hætti og í lyfjagreiðslukerfinu. </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PHB- kerfið, sem sameina á mörg kerfi undir sama hámarksgreiðsluþaki, gerir sjúkratryggðum og hinu opinbera auðveldara að hafa yfirsýn yfir kostnað, en er þó talsvert flóknara en lyfjagreiðslukerfið. Það er mikil fjárfesting að nota auðskiljanlegt kerfi. </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Öryrkjabandalagið hefur lagt áherslu á að sett verði á eitt þrepaskipt greiðsluþátttökukerfi líkt og lyfjaþátttökukerfið sem nær yfir allan heilbrigðiskostnað enda er ágætis reynsla af því, en mikilvægast er að sameiginlegt greiðsluþátttökukerfi muni byggjast á því kerfi sem sýnt er að komi notendum best. </w:t>
      </w:r>
    </w:p>
    <w:p w:rsidR="00C30378" w:rsidRPr="004C21F4" w:rsidRDefault="00C30378" w:rsidP="00C30378">
      <w:pPr>
        <w:rPr>
          <w:rFonts w:ascii="Arial" w:hAnsi="Arial" w:cs="Arial"/>
          <w:sz w:val="24"/>
          <w:szCs w:val="24"/>
        </w:rPr>
      </w:pPr>
      <w:r w:rsidRPr="004C21F4">
        <w:rPr>
          <w:rFonts w:ascii="Arial" w:hAnsi="Arial" w:cs="Arial"/>
          <w:sz w:val="24"/>
          <w:szCs w:val="24"/>
        </w:rPr>
        <w:t>Verði þetta frumvarp að lögum þá verður kostnaður vegna heilbrigðisþjónustu þrískiptur; þrepaskipta lyfjaþátttökukerfið, það kerfi sem nú liggur fyrir og svo allt sem út af stendur, þ.e. tannlækningar, sálfræðiþjónusta, tæknifrjóvgun, ferðakostnaður, sjúkraflutningar, hjálpartæki, næringarráðgjöf</w:t>
      </w:r>
      <w:r w:rsidR="00464F4B">
        <w:rPr>
          <w:rFonts w:ascii="Arial" w:hAnsi="Arial" w:cs="Arial"/>
          <w:sz w:val="24"/>
          <w:szCs w:val="24"/>
        </w:rPr>
        <w:t>, þau lyf sem ekki falla undir lyfjaþáttökukerfið</w:t>
      </w:r>
      <w:r w:rsidRPr="004C21F4">
        <w:rPr>
          <w:rFonts w:ascii="Arial" w:hAnsi="Arial" w:cs="Arial"/>
          <w:sz w:val="24"/>
          <w:szCs w:val="24"/>
        </w:rPr>
        <w:t xml:space="preserve"> og fleira. Samkvæmt útskýringu sérfræðings velferðarráðuneytisins</w:t>
      </w:r>
      <w:r w:rsidR="00464F4B">
        <w:rPr>
          <w:rFonts w:ascii="Arial" w:hAnsi="Arial" w:cs="Arial"/>
          <w:sz w:val="24"/>
          <w:szCs w:val="24"/>
        </w:rPr>
        <w:t xml:space="preserve"> </w:t>
      </w:r>
      <w:r w:rsidR="00464F4B" w:rsidRPr="004C21F4">
        <w:rPr>
          <w:rFonts w:ascii="Arial" w:hAnsi="Arial" w:cs="Arial"/>
          <w:sz w:val="24"/>
          <w:szCs w:val="24"/>
        </w:rPr>
        <w:t>á málþingi ÖBÍ þ. 26. maí 2016</w:t>
      </w:r>
      <w:r w:rsidR="00464F4B" w:rsidRPr="004C21F4">
        <w:rPr>
          <w:rStyle w:val="FootnoteReference"/>
          <w:rFonts w:ascii="Arial" w:hAnsi="Arial" w:cs="Arial"/>
          <w:sz w:val="24"/>
          <w:szCs w:val="24"/>
        </w:rPr>
        <w:footnoteReference w:id="1"/>
      </w:r>
      <w:r w:rsidR="00464F4B" w:rsidRPr="004C21F4">
        <w:rPr>
          <w:rFonts w:ascii="Arial" w:hAnsi="Arial" w:cs="Arial"/>
          <w:sz w:val="24"/>
          <w:szCs w:val="24"/>
        </w:rPr>
        <w:t xml:space="preserve"> </w:t>
      </w:r>
      <w:r w:rsidRPr="004C21F4">
        <w:rPr>
          <w:rFonts w:ascii="Arial" w:hAnsi="Arial" w:cs="Arial"/>
          <w:sz w:val="24"/>
          <w:szCs w:val="24"/>
        </w:rPr>
        <w:t xml:space="preserve"> er ástæða þess að þetta er ekki fellt inn í nýja greiðsluþátttökukerfið sú að Sjúkratryggingar Íslands hafi ekki næg gögn um þennan heilbrigðiskostnað. Þá er mikilvægt að stofnunin afli sér þeirra gagna hið fyrsta svo að hægt sé að fella þjónustuna undir þak greiðsluþátttökukerfisins. </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Samanlagt þak fyrir tvö fyrrnefndu kerfin er samkvæmt áætlun að hámarki 157.200 kr. á ársgrundvelli (62.000 + 95.200) almennt og 104.500 hjá öldruðum og öryrkjum (41.000 + 63.500). Það verður að fella það sem út af stendur undir sameiginlegt þak á kostnaði vegna heilbrigðisþjónustu enda er kostnaður margra mun hærri en sem þessu þaki  nemur, þegar allt er tekið saman. </w:t>
      </w:r>
    </w:p>
    <w:p w:rsidR="00C30378" w:rsidRPr="004C21F4" w:rsidRDefault="00C30378" w:rsidP="00C30378">
      <w:pPr>
        <w:rPr>
          <w:rFonts w:ascii="Arial" w:hAnsi="Arial" w:cs="Arial"/>
          <w:sz w:val="24"/>
          <w:szCs w:val="24"/>
        </w:rPr>
      </w:pPr>
      <w:r w:rsidRPr="004C21F4">
        <w:rPr>
          <w:rFonts w:ascii="Arial" w:hAnsi="Arial" w:cs="Arial"/>
          <w:sz w:val="24"/>
          <w:szCs w:val="24"/>
        </w:rPr>
        <w:t>Þakið er þar að auki of hátt og hærra en í nágrannalöndum okkar. Í Svíþjóð miðast hámarksþak vegna heilbrigðiskostnaðar og lyfja við um 51.000 kr. á ári.</w:t>
      </w:r>
      <w:r w:rsidRPr="004C21F4">
        <w:rPr>
          <w:rStyle w:val="FootnoteReference"/>
          <w:rFonts w:ascii="Arial" w:hAnsi="Arial" w:cs="Arial"/>
          <w:sz w:val="24"/>
          <w:szCs w:val="24"/>
        </w:rPr>
        <w:footnoteReference w:id="2"/>
      </w:r>
      <w:r w:rsidRPr="004C21F4">
        <w:rPr>
          <w:rFonts w:ascii="Arial" w:hAnsi="Arial" w:cs="Arial"/>
          <w:sz w:val="24"/>
          <w:szCs w:val="24"/>
        </w:rPr>
        <w:t xml:space="preserve"> </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Það er þó mjög til bóta að kostnaður notenda mun dreifast á 12 mánaða tímabil með </w:t>
      </w:r>
      <w:r w:rsidR="00464F4B">
        <w:rPr>
          <w:rFonts w:ascii="Arial" w:hAnsi="Arial" w:cs="Arial"/>
          <w:sz w:val="24"/>
          <w:szCs w:val="24"/>
        </w:rPr>
        <w:t>svokölluðum</w:t>
      </w:r>
      <w:r w:rsidRPr="004C21F4">
        <w:rPr>
          <w:rFonts w:ascii="Arial" w:hAnsi="Arial" w:cs="Arial"/>
          <w:sz w:val="24"/>
          <w:szCs w:val="24"/>
        </w:rPr>
        <w:t xml:space="preserve"> afsláttarstofni, í stað þess að vera innan almanaksárs eins og nú. Þó segir í 4. mgr. athugasemda um 1. gr. frumvarpsins: "Ráðherra er samkvæmt ákvæðinu heimilt að ákveða að tiltekin þjónusta falli utan hámarksgreiðslna og teljist ekki í hinn svokallaða afsláttarstofn." Varasamt er að veita ráðherrum rúmar heimildir til að ákveða undantekningar frá settum lögum. </w:t>
      </w:r>
    </w:p>
    <w:p w:rsidR="00C30378" w:rsidRPr="004C21F4" w:rsidRDefault="00C30378" w:rsidP="00C30378">
      <w:pPr>
        <w:rPr>
          <w:rFonts w:ascii="Arial" w:hAnsi="Arial" w:cs="Arial"/>
          <w:sz w:val="24"/>
          <w:szCs w:val="24"/>
        </w:rPr>
      </w:pPr>
    </w:p>
    <w:p w:rsidR="00C30378" w:rsidRPr="004C21F4" w:rsidRDefault="00C30378" w:rsidP="00C30378">
      <w:pPr>
        <w:rPr>
          <w:rFonts w:ascii="Arial" w:hAnsi="Arial" w:cs="Arial"/>
          <w:b/>
          <w:sz w:val="24"/>
          <w:szCs w:val="24"/>
        </w:rPr>
      </w:pPr>
      <w:r w:rsidRPr="004C21F4">
        <w:rPr>
          <w:rFonts w:ascii="Arial" w:hAnsi="Arial" w:cs="Arial"/>
          <w:b/>
          <w:sz w:val="24"/>
          <w:szCs w:val="24"/>
        </w:rPr>
        <w:t>Kostnaðarhlutdeild sjúkratryggðra</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Í frumvarpinu er gert ráð fyrir að kostnaður aldraðra, öryrkja og barna vegna heilbrigðisþjónustu verði 2/3 hlutar af gjaldi almennra sjúkratryggðra. Það hefur í för með sér að gjöld lífeyrisþega mun hækka úr 50% í 67%. </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Krafa ÖBÍ er að kostnaður aldraðra, örorkulífeyrisþega og ungmenna á aldrinum 18-21 árs verði aldrei hærri en 1/3 kostnaðar hjá almenningi miðað við þá greiðslubyrði fólks sem er þekkt í dag. </w:t>
      </w:r>
      <w:r w:rsidR="00464F4B">
        <w:rPr>
          <w:rFonts w:ascii="Arial" w:hAnsi="Arial" w:cs="Arial"/>
          <w:sz w:val="24"/>
          <w:szCs w:val="24"/>
        </w:rPr>
        <w:t>Öryrkjabandalagið vill líta á það sem fyrsta skref í  átt að gjaldfrjálsri he</w:t>
      </w:r>
      <w:r w:rsidRPr="004C21F4">
        <w:rPr>
          <w:rFonts w:ascii="Arial" w:hAnsi="Arial" w:cs="Arial"/>
          <w:sz w:val="24"/>
          <w:szCs w:val="24"/>
        </w:rPr>
        <w:t>ilbrigðisþjónustu.</w:t>
      </w:r>
    </w:p>
    <w:p w:rsidR="00C30378" w:rsidRPr="004C21F4" w:rsidRDefault="00C30378" w:rsidP="00C30378">
      <w:pPr>
        <w:rPr>
          <w:rFonts w:ascii="Arial" w:hAnsi="Arial" w:cs="Arial"/>
          <w:sz w:val="24"/>
          <w:szCs w:val="24"/>
        </w:rPr>
      </w:pPr>
      <w:r w:rsidRPr="004C21F4">
        <w:rPr>
          <w:rFonts w:ascii="Arial" w:hAnsi="Arial" w:cs="Arial"/>
          <w:sz w:val="24"/>
          <w:szCs w:val="24"/>
        </w:rPr>
        <w:t>Örorkulífeyrir var um 193.962 kr. í janúar 2015</w:t>
      </w:r>
      <w:r w:rsidRPr="004C21F4">
        <w:rPr>
          <w:rStyle w:val="FootnoteReference"/>
          <w:rFonts w:ascii="Arial" w:hAnsi="Arial" w:cs="Arial"/>
          <w:sz w:val="24"/>
          <w:szCs w:val="24"/>
        </w:rPr>
        <w:footnoteReference w:id="3"/>
      </w:r>
      <w:r w:rsidRPr="004C21F4">
        <w:rPr>
          <w:rFonts w:ascii="Arial" w:hAnsi="Arial" w:cs="Arial"/>
          <w:sz w:val="24"/>
          <w:szCs w:val="24"/>
        </w:rPr>
        <w:t>, en samkvæmt fjárlagafrumvarpi ríkisstjórnarinnar voru meðallaunatekjur einstaklingar tæplega 600.000 kr. á mánuði árið 2015</w:t>
      </w:r>
      <w:r w:rsidRPr="004C21F4">
        <w:rPr>
          <w:rStyle w:val="FootnoteReference"/>
          <w:rFonts w:ascii="Arial" w:hAnsi="Arial" w:cs="Arial"/>
          <w:sz w:val="24"/>
          <w:szCs w:val="24"/>
        </w:rPr>
        <w:footnoteReference w:id="4"/>
      </w:r>
      <w:r w:rsidRPr="004C21F4">
        <w:rPr>
          <w:rFonts w:ascii="Arial" w:hAnsi="Arial" w:cs="Arial"/>
          <w:sz w:val="24"/>
          <w:szCs w:val="24"/>
        </w:rPr>
        <w:t>. Ráðstöfunartekjur öryrkja eru mun lægri en almennings auk þess sem þörf þeirra fyrir læknisþjónustu er meiri að jafnaði</w:t>
      </w:r>
      <w:r w:rsidR="00464F4B">
        <w:rPr>
          <w:rFonts w:ascii="Arial" w:hAnsi="Arial" w:cs="Arial"/>
          <w:sz w:val="24"/>
          <w:szCs w:val="24"/>
        </w:rPr>
        <w:t xml:space="preserve"> eins og gefur að skilja</w:t>
      </w:r>
      <w:r w:rsidRPr="004C21F4">
        <w:rPr>
          <w:rFonts w:ascii="Arial" w:hAnsi="Arial" w:cs="Arial"/>
          <w:sz w:val="24"/>
          <w:szCs w:val="24"/>
        </w:rPr>
        <w:t xml:space="preserve">. </w:t>
      </w:r>
    </w:p>
    <w:p w:rsidR="00C30378" w:rsidRPr="004C21F4" w:rsidRDefault="00C30378" w:rsidP="00C30378">
      <w:pPr>
        <w:rPr>
          <w:rFonts w:ascii="Arial" w:hAnsi="Arial" w:cs="Arial"/>
          <w:sz w:val="24"/>
          <w:szCs w:val="24"/>
        </w:rPr>
      </w:pPr>
      <w:r w:rsidRPr="004C21F4">
        <w:rPr>
          <w:rFonts w:ascii="Arial" w:hAnsi="Arial" w:cs="Arial"/>
          <w:sz w:val="24"/>
          <w:szCs w:val="24"/>
        </w:rPr>
        <w:t>Fram hefur komið að kostnaður ríkissjóðs við að gera heilbrigðisþjónustu</w:t>
      </w:r>
      <w:r w:rsidR="00464F4B">
        <w:rPr>
          <w:rFonts w:ascii="Arial" w:hAnsi="Arial" w:cs="Arial"/>
          <w:sz w:val="24"/>
          <w:szCs w:val="24"/>
        </w:rPr>
        <w:t>,</w:t>
      </w:r>
      <w:r w:rsidRPr="004C21F4">
        <w:rPr>
          <w:rFonts w:ascii="Arial" w:hAnsi="Arial" w:cs="Arial"/>
          <w:sz w:val="24"/>
          <w:szCs w:val="24"/>
        </w:rPr>
        <w:t xml:space="preserve"> sem lögin fjalla um</w:t>
      </w:r>
      <w:r w:rsidR="00464F4B">
        <w:rPr>
          <w:rFonts w:ascii="Arial" w:hAnsi="Arial" w:cs="Arial"/>
          <w:sz w:val="24"/>
          <w:szCs w:val="24"/>
        </w:rPr>
        <w:t>, gjaldfrjálsa</w:t>
      </w:r>
      <w:r w:rsidRPr="004C21F4">
        <w:rPr>
          <w:rFonts w:ascii="Arial" w:hAnsi="Arial" w:cs="Arial"/>
          <w:sz w:val="24"/>
          <w:szCs w:val="24"/>
        </w:rPr>
        <w:t xml:space="preserve"> er eingöngu </w:t>
      </w:r>
      <w:r w:rsidR="00464F4B">
        <w:rPr>
          <w:rFonts w:ascii="Arial" w:hAnsi="Arial" w:cs="Arial"/>
          <w:sz w:val="24"/>
          <w:szCs w:val="24"/>
        </w:rPr>
        <w:t xml:space="preserve">um </w:t>
      </w:r>
      <w:r w:rsidRPr="004C21F4">
        <w:rPr>
          <w:rFonts w:ascii="Arial" w:hAnsi="Arial" w:cs="Arial"/>
          <w:sz w:val="24"/>
          <w:szCs w:val="24"/>
        </w:rPr>
        <w:t>6,5 milljarðar króna</w:t>
      </w:r>
      <w:r w:rsidRPr="004C21F4">
        <w:rPr>
          <w:rStyle w:val="FootnoteReference"/>
          <w:rFonts w:ascii="Arial" w:hAnsi="Arial" w:cs="Arial"/>
          <w:sz w:val="24"/>
          <w:szCs w:val="24"/>
        </w:rPr>
        <w:footnoteReference w:id="5"/>
      </w:r>
      <w:r w:rsidRPr="004C21F4">
        <w:rPr>
          <w:rFonts w:ascii="Arial" w:hAnsi="Arial" w:cs="Arial"/>
          <w:sz w:val="24"/>
          <w:szCs w:val="24"/>
        </w:rPr>
        <w:t xml:space="preserve">. Það </w:t>
      </w:r>
      <w:r w:rsidR="00464F4B">
        <w:rPr>
          <w:rFonts w:ascii="Arial" w:hAnsi="Arial" w:cs="Arial"/>
          <w:sz w:val="24"/>
          <w:szCs w:val="24"/>
        </w:rPr>
        <w:t>telst</w:t>
      </w:r>
      <w:r w:rsidRPr="004C21F4">
        <w:rPr>
          <w:rFonts w:ascii="Arial" w:hAnsi="Arial" w:cs="Arial"/>
          <w:sz w:val="24"/>
          <w:szCs w:val="24"/>
        </w:rPr>
        <w:t xml:space="preserve"> ekki mikill kostnaður til að styrkja stoðir félagslegs heilbrigðiskerfis á Íslandi en samkvæmt nýrri könnun vilja 90,9% Íslendinga að hið opinbera eigi að leggja meira fé í heilbrigðisþjónustuna en nú er gert</w:t>
      </w:r>
      <w:r w:rsidRPr="004C21F4">
        <w:rPr>
          <w:rStyle w:val="FootnoteReference"/>
          <w:rFonts w:ascii="Arial" w:hAnsi="Arial" w:cs="Arial"/>
          <w:sz w:val="24"/>
          <w:szCs w:val="24"/>
        </w:rPr>
        <w:footnoteReference w:id="6"/>
      </w:r>
      <w:r w:rsidRPr="004C21F4">
        <w:rPr>
          <w:rFonts w:ascii="Arial" w:hAnsi="Arial" w:cs="Arial"/>
          <w:sz w:val="24"/>
          <w:szCs w:val="24"/>
        </w:rPr>
        <w:t>, og 85 þúsund Íslendinga skrifuðu undir kröfu um endurreisn heilbrigðiskerfisins</w:t>
      </w:r>
      <w:r w:rsidRPr="004C21F4">
        <w:rPr>
          <w:rStyle w:val="FootnoteReference"/>
          <w:rFonts w:ascii="Arial" w:hAnsi="Arial" w:cs="Arial"/>
          <w:sz w:val="24"/>
          <w:szCs w:val="24"/>
        </w:rPr>
        <w:footnoteReference w:id="7"/>
      </w:r>
      <w:r w:rsidRPr="004C21F4">
        <w:rPr>
          <w:rFonts w:ascii="Arial" w:hAnsi="Arial" w:cs="Arial"/>
          <w:sz w:val="24"/>
          <w:szCs w:val="24"/>
        </w:rPr>
        <w:t xml:space="preserve">. </w:t>
      </w:r>
    </w:p>
    <w:p w:rsidR="00C30378" w:rsidRDefault="00C30378" w:rsidP="00C30378">
      <w:pPr>
        <w:rPr>
          <w:rFonts w:ascii="Arial" w:hAnsi="Arial" w:cs="Arial"/>
          <w:sz w:val="24"/>
          <w:szCs w:val="24"/>
        </w:rPr>
      </w:pPr>
      <w:r w:rsidRPr="004C21F4">
        <w:rPr>
          <w:rFonts w:ascii="Arial" w:hAnsi="Arial" w:cs="Arial"/>
          <w:sz w:val="24"/>
          <w:szCs w:val="24"/>
        </w:rPr>
        <w:t>Í I. kafla athugasemda við frumvarpið kemur fram að skoðað hafi verið hvort heilbrigðisþjónusta barna ætti að vera gjaldfrjáls eða ekki, en að meirihluti nefndarinnar sem skipuð var árið 2013 hafi samþykkt gjaldtöku vegna barna í heilbrigðiskerfinu</w:t>
      </w:r>
      <w:r w:rsidR="00464F4B">
        <w:rPr>
          <w:rFonts w:ascii="Arial" w:hAnsi="Arial" w:cs="Arial"/>
          <w:sz w:val="24"/>
          <w:szCs w:val="24"/>
        </w:rPr>
        <w:t>. ÖBÍ leggur ríka áherslu á að heilbrigðisþjónusta fyrir börn verði gjaldfrjáls með öllu, þar með talið tannlækningar, sálfræðiþjónusta og þjálfun svo dæmi séu nefnd. Ekki voru tilgreindar ástæður þess að meirihluti nefndarinnar sem fjallaði um málið komst að þeirri niðurstöðu að rétt væri að samþykkja gjaldtöku vegna þjónustu við börn en rétt væri að skoða nánar hver rökin voru fyrir þeirri ákvörðun.</w:t>
      </w:r>
    </w:p>
    <w:p w:rsidR="00C30378" w:rsidRDefault="00C30378" w:rsidP="00C30378">
      <w:pPr>
        <w:pStyle w:val="PlainText"/>
        <w:spacing w:line="276" w:lineRule="auto"/>
      </w:pPr>
      <w:r>
        <w:t xml:space="preserve">Ekki er hægt að lesa annað úr frumvarpinu en að allir aðrir en elli- og örorkulífeyrisþegar muni falla undir og greiða sem almennir. Í núverandi kerfi greiða endurhæfingarlífeyrisþegar sama gjald og örorkulífeyrisþegar fyrir lyf, læknisþjónustu og þjálfun. Um endurhæfingarlífeyri gilda sömu lagaákvæði og um örorkulífeyri.  Einstaklingar sem hafa verið í atvinnuleit lengur en sex mánuði greiða skv. gjaldskrá </w:t>
      </w:r>
      <w:r>
        <w:lastRenderedPageBreak/>
        <w:t>fyrir lífeyrisþega fyrir læknisþjónustu og heilsugæslu. Þarna er verið að auka álög á þessa tekjulágu hópa.</w:t>
      </w:r>
    </w:p>
    <w:p w:rsidR="00C30378" w:rsidRPr="004C21F4" w:rsidRDefault="00C30378" w:rsidP="00C30378">
      <w:pPr>
        <w:rPr>
          <w:rFonts w:ascii="Arial" w:hAnsi="Arial" w:cs="Arial"/>
          <w:sz w:val="24"/>
          <w:szCs w:val="24"/>
        </w:rPr>
      </w:pPr>
    </w:p>
    <w:p w:rsidR="00C30378" w:rsidRPr="004C21F4" w:rsidRDefault="00C30378" w:rsidP="00C30378">
      <w:pPr>
        <w:rPr>
          <w:rFonts w:ascii="Arial" w:hAnsi="Arial" w:cs="Arial"/>
          <w:b/>
          <w:sz w:val="24"/>
          <w:szCs w:val="24"/>
        </w:rPr>
      </w:pPr>
      <w:r w:rsidRPr="004C21F4">
        <w:rPr>
          <w:rFonts w:ascii="Arial" w:hAnsi="Arial" w:cs="Arial"/>
          <w:b/>
          <w:sz w:val="24"/>
          <w:szCs w:val="24"/>
        </w:rPr>
        <w:t>Sjúklingar greiða fyrir aðra sjúklinga</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Samkvæmt frumvarpinu byggist nýtt greiðsluþátttökukerfi í heilbrigðisþjónustu á millifærslu. Meginmarkmið frumvarpsins </w:t>
      </w:r>
      <w:r w:rsidR="00464F4B">
        <w:rPr>
          <w:rFonts w:ascii="Arial" w:hAnsi="Arial" w:cs="Arial"/>
          <w:sz w:val="24"/>
          <w:szCs w:val="24"/>
        </w:rPr>
        <w:t xml:space="preserve">fjallar </w:t>
      </w:r>
      <w:r w:rsidRPr="004C21F4">
        <w:rPr>
          <w:rFonts w:ascii="Arial" w:hAnsi="Arial" w:cs="Arial"/>
          <w:sz w:val="24"/>
          <w:szCs w:val="24"/>
        </w:rPr>
        <w:t>um að hlífa þeim sem þurfa á mikilli heilbrigðisþjónustu að halda fyrir háum kostnaði</w:t>
      </w:r>
      <w:r w:rsidR="00464F4B">
        <w:rPr>
          <w:rFonts w:ascii="Arial" w:hAnsi="Arial" w:cs="Arial"/>
          <w:sz w:val="24"/>
          <w:szCs w:val="24"/>
        </w:rPr>
        <w:t xml:space="preserve">. En ekki er hægt að sjá að það feli  í sér að ríkissjóður leggi til aukna </w:t>
      </w:r>
      <w:r w:rsidRPr="004C21F4">
        <w:rPr>
          <w:rFonts w:ascii="Arial" w:hAnsi="Arial" w:cs="Arial"/>
          <w:sz w:val="24"/>
          <w:szCs w:val="24"/>
        </w:rPr>
        <w:t xml:space="preserve">til að lækka kostnað þessa hóps, heldur er kostnaðinum velt yfir á aðra sjúklinga. Frumvarpið felur í sér að lækkaður kostnaður þeirra 15% sjúkratryggðra sem nota heilbrigðisþjónustuna mest, </w:t>
      </w:r>
      <w:r w:rsidR="00464F4B">
        <w:rPr>
          <w:rFonts w:ascii="Arial" w:hAnsi="Arial" w:cs="Arial"/>
          <w:sz w:val="24"/>
          <w:szCs w:val="24"/>
        </w:rPr>
        <w:t>átta</w:t>
      </w:r>
      <w:r w:rsidRPr="004C21F4">
        <w:rPr>
          <w:rFonts w:ascii="Arial" w:hAnsi="Arial" w:cs="Arial"/>
          <w:sz w:val="24"/>
          <w:szCs w:val="24"/>
        </w:rPr>
        <w:t xml:space="preserve"> sinnum </w:t>
      </w:r>
      <w:r w:rsidR="00464F4B">
        <w:rPr>
          <w:rFonts w:ascii="Arial" w:hAnsi="Arial" w:cs="Arial"/>
          <w:sz w:val="24"/>
          <w:szCs w:val="24"/>
        </w:rPr>
        <w:t xml:space="preserve">eða oftar </w:t>
      </w:r>
      <w:r w:rsidRPr="004C21F4">
        <w:rPr>
          <w:rFonts w:ascii="Arial" w:hAnsi="Arial" w:cs="Arial"/>
          <w:sz w:val="24"/>
          <w:szCs w:val="24"/>
        </w:rPr>
        <w:t xml:space="preserve">á ári, lækkar með því að þeir 85% sjúkratryggðra sem notar þjónustuna minna, </w:t>
      </w:r>
      <w:r w:rsidR="00464F4B">
        <w:rPr>
          <w:rFonts w:ascii="Arial" w:hAnsi="Arial" w:cs="Arial"/>
          <w:sz w:val="24"/>
          <w:szCs w:val="24"/>
        </w:rPr>
        <w:t>einu til sjö</w:t>
      </w:r>
      <w:r w:rsidRPr="004C21F4">
        <w:rPr>
          <w:rFonts w:ascii="Arial" w:hAnsi="Arial" w:cs="Arial"/>
          <w:sz w:val="24"/>
          <w:szCs w:val="24"/>
        </w:rPr>
        <w:t xml:space="preserve"> sinnum á ári, greiða mismuninn</w:t>
      </w:r>
      <w:r w:rsidRPr="004C21F4">
        <w:rPr>
          <w:rStyle w:val="FootnoteReference"/>
          <w:rFonts w:ascii="Arial" w:hAnsi="Arial" w:cs="Arial"/>
          <w:sz w:val="24"/>
          <w:szCs w:val="24"/>
        </w:rPr>
        <w:footnoteReference w:id="8"/>
      </w:r>
      <w:r w:rsidRPr="004C21F4">
        <w:rPr>
          <w:rFonts w:ascii="Arial" w:hAnsi="Arial" w:cs="Arial"/>
          <w:sz w:val="24"/>
          <w:szCs w:val="24"/>
        </w:rPr>
        <w:t xml:space="preserve">. </w:t>
      </w:r>
    </w:p>
    <w:p w:rsidR="00C30378" w:rsidRPr="004C21F4" w:rsidRDefault="00C30378" w:rsidP="00C30378">
      <w:pPr>
        <w:rPr>
          <w:rFonts w:ascii="Arial" w:hAnsi="Arial" w:cs="Arial"/>
          <w:sz w:val="24"/>
          <w:szCs w:val="24"/>
        </w:rPr>
      </w:pPr>
      <w:r w:rsidRPr="004C21F4">
        <w:rPr>
          <w:rFonts w:ascii="Arial" w:hAnsi="Arial" w:cs="Arial"/>
          <w:sz w:val="24"/>
          <w:szCs w:val="24"/>
        </w:rPr>
        <w:t>Því er ekki gert ráð fyrir frekari útgjöldum ríkissjóðs með gildistöku laganna. Þvert á móti er í mati á áhrifum í VI. kafla athugasemda við frumvarpið gert ráð fyrir að útgjöld ríkissjóðs verði um 46. m.kr. innan ramma verði það að lögum.</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Með samþykkt laganna mun þeim fjölga sem greiða 30 til 89 þúsund krónur á ári, </w:t>
      </w:r>
      <w:r w:rsidRPr="004C21F4">
        <w:rPr>
          <w:rFonts w:ascii="Arial" w:hAnsi="Arial" w:cs="Arial"/>
          <w:bCs/>
          <w:sz w:val="24"/>
          <w:szCs w:val="24"/>
        </w:rPr>
        <w:t>m.a. lífeyrisþegar</w:t>
      </w:r>
      <w:r w:rsidRPr="004C21F4">
        <w:rPr>
          <w:rFonts w:ascii="Arial" w:hAnsi="Arial" w:cs="Arial"/>
          <w:sz w:val="24"/>
          <w:szCs w:val="24"/>
        </w:rPr>
        <w:t>. Aldraðir og öryrkjar sem nota læknisþjónustu minna borga 503 milljón kr. meira eftir breytinguna</w:t>
      </w:r>
      <w:r w:rsidRPr="004C21F4">
        <w:rPr>
          <w:rStyle w:val="FootnoteReference"/>
          <w:rFonts w:ascii="Arial" w:hAnsi="Arial" w:cs="Arial"/>
          <w:sz w:val="24"/>
          <w:szCs w:val="24"/>
        </w:rPr>
        <w:footnoteReference w:id="9"/>
      </w:r>
      <w:r w:rsidRPr="004C21F4">
        <w:rPr>
          <w:rFonts w:ascii="Arial" w:hAnsi="Arial" w:cs="Arial"/>
          <w:sz w:val="24"/>
          <w:szCs w:val="24"/>
        </w:rPr>
        <w:t>.</w:t>
      </w:r>
    </w:p>
    <w:p w:rsidR="00464F4B" w:rsidRDefault="00464F4B" w:rsidP="00464F4B">
      <w:pPr>
        <w:rPr>
          <w:rFonts w:ascii="Arial" w:hAnsi="Arial" w:cs="Arial"/>
          <w:sz w:val="24"/>
          <w:szCs w:val="24"/>
        </w:rPr>
      </w:pPr>
      <w:r>
        <w:rPr>
          <w:rFonts w:ascii="Arial" w:hAnsi="Arial" w:cs="Arial"/>
          <w:sz w:val="24"/>
          <w:szCs w:val="24"/>
        </w:rPr>
        <w:t>Þetta mun hafa mjög alvarlegar afleiðingar afleiðingar fyrir þessa hópa sem  hafa lága framfærslu , og kostnaður vegna heimsókna til sérfræðilækna mun aukast verulega  enda er hver tími dýr og aukning kostnaðarhlutdeildar sjúklings úr 50% í 67% er meiri en margir geta ráðið við.</w:t>
      </w:r>
    </w:p>
    <w:p w:rsidR="00C30378" w:rsidRPr="004C21F4" w:rsidRDefault="00C30378" w:rsidP="00C30378">
      <w:pPr>
        <w:rPr>
          <w:rFonts w:ascii="Arial" w:hAnsi="Arial" w:cs="Arial"/>
          <w:sz w:val="24"/>
          <w:szCs w:val="24"/>
        </w:rPr>
      </w:pPr>
      <w:r w:rsidRPr="004C21F4">
        <w:rPr>
          <w:rFonts w:ascii="Arial" w:hAnsi="Arial" w:cs="Arial"/>
          <w:sz w:val="24"/>
          <w:szCs w:val="24"/>
        </w:rPr>
        <w:t xml:space="preserve">Í rannsókn Rúnars Vilhjálmssonar frá 2015 kemur fram að 21,8% aðspurðra hafi frestað læknisþjónustu á 6 mánaða tímabili, en 41,4% þeirra sögðu ástæðuna vera vegna kostnaðar. Í sömu rannsókn árið 2006 sögðu 30,1% þeirra sem höfðu frestað læknisþjónustu ástæðuna vera vegna kostnaðar. Þeir sem líklegastir eru til að fresta læknisþjónustu vegna kostnaðar eru ekki þau 15% sem nota þjónustuna mest, heldur hin 85% sem fara </w:t>
      </w:r>
      <w:r w:rsidR="00464F4B">
        <w:rPr>
          <w:rFonts w:ascii="Arial" w:hAnsi="Arial" w:cs="Arial"/>
          <w:sz w:val="24"/>
          <w:szCs w:val="24"/>
        </w:rPr>
        <w:t>einu til sjö</w:t>
      </w:r>
      <w:r w:rsidRPr="004C21F4">
        <w:rPr>
          <w:rFonts w:ascii="Arial" w:hAnsi="Arial" w:cs="Arial"/>
          <w:sz w:val="24"/>
          <w:szCs w:val="24"/>
        </w:rPr>
        <w:t xml:space="preserve"> sinnum til læknis á ári</w:t>
      </w:r>
      <w:r w:rsidRPr="004C21F4">
        <w:rPr>
          <w:rStyle w:val="FootnoteReference"/>
          <w:rFonts w:ascii="Arial" w:hAnsi="Arial" w:cs="Arial"/>
          <w:sz w:val="24"/>
          <w:szCs w:val="24"/>
        </w:rPr>
        <w:footnoteReference w:id="10"/>
      </w:r>
      <w:r w:rsidR="00464F4B">
        <w:rPr>
          <w:rFonts w:ascii="Arial" w:hAnsi="Arial" w:cs="Arial"/>
          <w:sz w:val="24"/>
          <w:szCs w:val="24"/>
        </w:rPr>
        <w:t>. Hlutfallið er</w:t>
      </w:r>
      <w:r w:rsidRPr="004C21F4">
        <w:rPr>
          <w:rFonts w:ascii="Arial" w:hAnsi="Arial" w:cs="Arial"/>
          <w:sz w:val="24"/>
          <w:szCs w:val="24"/>
        </w:rPr>
        <w:t xml:space="preserve"> enn hærra meðal öryrkja. Því er grafalvarlegt að auka enn á kostnað þessa hóps. </w:t>
      </w:r>
    </w:p>
    <w:p w:rsidR="00C30378" w:rsidRPr="004C21F4" w:rsidRDefault="00C30378" w:rsidP="00C30378">
      <w:pPr>
        <w:rPr>
          <w:rFonts w:ascii="Arial" w:hAnsi="Arial" w:cs="Arial"/>
          <w:sz w:val="24"/>
          <w:szCs w:val="24"/>
        </w:rPr>
      </w:pPr>
      <w:r>
        <w:rPr>
          <w:rFonts w:ascii="Arial" w:hAnsi="Arial" w:cs="Arial"/>
          <w:sz w:val="24"/>
          <w:szCs w:val="24"/>
        </w:rPr>
        <w:t>K</w:t>
      </w:r>
      <w:r w:rsidRPr="004C21F4">
        <w:rPr>
          <w:rFonts w:ascii="Arial" w:hAnsi="Arial" w:cs="Arial"/>
          <w:sz w:val="24"/>
          <w:szCs w:val="24"/>
        </w:rPr>
        <w:t>ostnaður heimilanna hefur aukist mikið</w:t>
      </w:r>
      <w:r>
        <w:rPr>
          <w:rFonts w:ascii="Arial" w:hAnsi="Arial" w:cs="Arial"/>
          <w:sz w:val="24"/>
          <w:szCs w:val="24"/>
        </w:rPr>
        <w:t xml:space="preserve"> á föstu verðlagi</w:t>
      </w:r>
      <w:r w:rsidRPr="004C21F4">
        <w:rPr>
          <w:rFonts w:ascii="Arial" w:hAnsi="Arial" w:cs="Arial"/>
          <w:sz w:val="24"/>
          <w:szCs w:val="24"/>
        </w:rPr>
        <w:t xml:space="preserve"> sl. þrjá áratugi</w:t>
      </w:r>
      <w:r>
        <w:rPr>
          <w:rFonts w:ascii="Arial" w:hAnsi="Arial" w:cs="Arial"/>
          <w:sz w:val="24"/>
          <w:szCs w:val="24"/>
        </w:rPr>
        <w:t xml:space="preserve">, og talsvert meira en hins opinbera. Hins vegar hefur </w:t>
      </w:r>
      <w:r w:rsidRPr="004C21F4">
        <w:rPr>
          <w:rFonts w:ascii="Arial" w:hAnsi="Arial" w:cs="Arial"/>
          <w:sz w:val="24"/>
          <w:szCs w:val="24"/>
        </w:rPr>
        <w:t>ávinningur hin</w:t>
      </w:r>
      <w:r>
        <w:rPr>
          <w:rFonts w:ascii="Arial" w:hAnsi="Arial" w:cs="Arial"/>
          <w:sz w:val="24"/>
          <w:szCs w:val="24"/>
        </w:rPr>
        <w:t>s opinbera, m.a. vegna sparnaðar</w:t>
      </w:r>
      <w:r w:rsidRPr="004C21F4">
        <w:rPr>
          <w:rFonts w:ascii="Arial" w:hAnsi="Arial" w:cs="Arial"/>
          <w:sz w:val="24"/>
          <w:szCs w:val="24"/>
        </w:rPr>
        <w:t xml:space="preserve"> í lyfjakostnaði, ekki runnið til notenda</w:t>
      </w:r>
      <w:r>
        <w:rPr>
          <w:rFonts w:ascii="Arial" w:hAnsi="Arial" w:cs="Arial"/>
          <w:sz w:val="24"/>
          <w:szCs w:val="24"/>
        </w:rPr>
        <w:t>.</w:t>
      </w:r>
    </w:p>
    <w:p w:rsidR="00C30378" w:rsidRDefault="00C30378" w:rsidP="00C30378">
      <w:pPr>
        <w:rPr>
          <w:rFonts w:ascii="Arial" w:hAnsi="Arial" w:cs="Arial"/>
          <w:b/>
          <w:sz w:val="24"/>
          <w:szCs w:val="24"/>
        </w:rPr>
      </w:pPr>
    </w:p>
    <w:p w:rsidR="00C30378" w:rsidRPr="004C21F4" w:rsidRDefault="00C30378" w:rsidP="00C30378">
      <w:pPr>
        <w:rPr>
          <w:rFonts w:ascii="Arial" w:hAnsi="Arial" w:cs="Arial"/>
          <w:b/>
          <w:sz w:val="24"/>
          <w:szCs w:val="24"/>
        </w:rPr>
      </w:pPr>
      <w:r w:rsidRPr="004C21F4">
        <w:rPr>
          <w:rFonts w:ascii="Arial" w:hAnsi="Arial" w:cs="Arial"/>
          <w:b/>
          <w:sz w:val="24"/>
          <w:szCs w:val="24"/>
        </w:rPr>
        <w:t>Heilsugæslan sem fyrsti viðkomustaður sjúklings</w:t>
      </w:r>
    </w:p>
    <w:p w:rsidR="00C30378" w:rsidRDefault="00C30378" w:rsidP="00C30378">
      <w:pPr>
        <w:rPr>
          <w:rFonts w:ascii="Arial" w:hAnsi="Arial" w:cs="Arial"/>
          <w:sz w:val="24"/>
          <w:szCs w:val="24"/>
        </w:rPr>
      </w:pPr>
      <w:r>
        <w:rPr>
          <w:rFonts w:ascii="Arial" w:hAnsi="Arial" w:cs="Arial"/>
          <w:sz w:val="24"/>
          <w:szCs w:val="24"/>
        </w:rPr>
        <w:lastRenderedPageBreak/>
        <w:t xml:space="preserve">Lagt er áhersla á þjónustustýringu í frumvarpinu svo að heilsugæslan sé fyrsti viðkomustaður fólk, sem svo vísi þeim áfram til sérfræðinga eftir því sem þörf þyki á. </w:t>
      </w:r>
    </w:p>
    <w:p w:rsidR="00C30378" w:rsidRDefault="00C30378" w:rsidP="00C30378">
      <w:pPr>
        <w:rPr>
          <w:rFonts w:ascii="Arial" w:hAnsi="Arial" w:cs="Arial"/>
          <w:sz w:val="24"/>
          <w:szCs w:val="24"/>
        </w:rPr>
      </w:pPr>
      <w:r>
        <w:rPr>
          <w:rFonts w:ascii="Arial" w:hAnsi="Arial" w:cs="Arial"/>
          <w:sz w:val="24"/>
          <w:szCs w:val="24"/>
        </w:rPr>
        <w:t xml:space="preserve">Þó er ekki gert ráð fyrir auknu fé til heilsugæslunnar, þrátt fyrir að í bígerð sé að opna þrjár nýjar heilsugæslustöðvar, </w:t>
      </w:r>
      <w:r w:rsidRPr="004C21F4">
        <w:rPr>
          <w:rFonts w:ascii="Arial" w:hAnsi="Arial" w:cs="Arial"/>
          <w:sz w:val="24"/>
          <w:szCs w:val="24"/>
        </w:rPr>
        <w:t>heldur segir í athugasemd við 1. gr. frumvarpsins: "Innleiðing nýs fyrirkomulags við fjármögnun heilsugæslunnar miðar að því að fjármagn fylgi sjúklingum."</w:t>
      </w:r>
    </w:p>
    <w:p w:rsidR="00464F4B" w:rsidRDefault="00464F4B" w:rsidP="00464F4B">
      <w:pPr>
        <w:rPr>
          <w:rFonts w:ascii="Arial" w:hAnsi="Arial" w:cs="Arial"/>
          <w:sz w:val="24"/>
          <w:szCs w:val="24"/>
        </w:rPr>
      </w:pPr>
      <w:r>
        <w:rPr>
          <w:rFonts w:ascii="Arial" w:hAnsi="Arial" w:cs="Arial"/>
          <w:sz w:val="24"/>
          <w:szCs w:val="24"/>
        </w:rPr>
        <w:t xml:space="preserve">Það hefur vart farið framhjá neinum að heilsugæslan stendur afar höllum fæti. Skortur er á heimilis- og heilsugæslulæknum og biðtími eftir þjónustu í heilsugæslu er þegar afar langur á flestum stöðvum. Ástæða er til að hafa áhyggjur af því að sjúklingum verði beint í stórauknum mæli til heilsugæslu sem ekki hefur ekki einu sinni bolmagn til að taka á móti þeim sjúklingum sem leita til hennar í dag. </w:t>
      </w:r>
    </w:p>
    <w:p w:rsidR="00C30378" w:rsidRDefault="00C30378" w:rsidP="00C30378">
      <w:pPr>
        <w:rPr>
          <w:rFonts w:ascii="Arial" w:hAnsi="Arial" w:cs="Arial"/>
          <w:sz w:val="24"/>
          <w:szCs w:val="24"/>
        </w:rPr>
      </w:pPr>
      <w:r>
        <w:rPr>
          <w:rFonts w:ascii="Arial" w:hAnsi="Arial" w:cs="Arial"/>
          <w:sz w:val="24"/>
          <w:szCs w:val="24"/>
        </w:rPr>
        <w:t>Hætta er á að biðtími sjúklings eftir meðferð aukist enn við það að bíða eftir að komast inn hjá heilsugæslulækni, í stað þess að geta leitað strax til sérfræðings. Auk þess verða sérfræðingar að geta vísað sjúklingum til annarra sérfræðinga, en ekki verður séð að sá möguleiki verði til staðar.</w:t>
      </w:r>
    </w:p>
    <w:p w:rsidR="00C30378" w:rsidRDefault="00C30378" w:rsidP="00C30378">
      <w:pPr>
        <w:rPr>
          <w:rFonts w:ascii="Arial" w:hAnsi="Arial" w:cs="Arial"/>
          <w:sz w:val="24"/>
          <w:szCs w:val="24"/>
        </w:rPr>
      </w:pPr>
      <w:r w:rsidRPr="004C21F4">
        <w:rPr>
          <w:rFonts w:ascii="Arial" w:hAnsi="Arial" w:cs="Arial"/>
          <w:sz w:val="24"/>
          <w:szCs w:val="24"/>
        </w:rPr>
        <w:t xml:space="preserve">Gert er ráð fyrir heimild til aukinnar gjaldtöku ef sjúklingur leitar sér þjónustu á annarri heilsugæslustöð/heimilislækni eða án tilvísunar, sbr. 1. og 2. lið frumvarpsins. </w:t>
      </w:r>
      <w:r>
        <w:rPr>
          <w:rFonts w:ascii="Arial" w:hAnsi="Arial" w:cs="Arial"/>
          <w:sz w:val="24"/>
          <w:szCs w:val="24"/>
        </w:rPr>
        <w:t>Þ</w:t>
      </w:r>
      <w:r w:rsidRPr="004C21F4">
        <w:rPr>
          <w:rFonts w:ascii="Arial" w:hAnsi="Arial" w:cs="Arial"/>
          <w:sz w:val="24"/>
          <w:szCs w:val="24"/>
        </w:rPr>
        <w:t xml:space="preserve">að </w:t>
      </w:r>
      <w:r>
        <w:rPr>
          <w:rFonts w:ascii="Arial" w:hAnsi="Arial" w:cs="Arial"/>
          <w:sz w:val="24"/>
          <w:szCs w:val="24"/>
        </w:rPr>
        <w:t xml:space="preserve">getur vart verið </w:t>
      </w:r>
      <w:r w:rsidRPr="004C21F4">
        <w:rPr>
          <w:rFonts w:ascii="Arial" w:hAnsi="Arial" w:cs="Arial"/>
          <w:sz w:val="24"/>
          <w:szCs w:val="24"/>
        </w:rPr>
        <w:t>eðlileg krafa meðan f</w:t>
      </w:r>
      <w:r>
        <w:rPr>
          <w:rFonts w:ascii="Arial" w:hAnsi="Arial" w:cs="Arial"/>
          <w:sz w:val="24"/>
          <w:szCs w:val="24"/>
        </w:rPr>
        <w:t>ólk fær ekki tíma á heilsugæslu.</w:t>
      </w:r>
    </w:p>
    <w:p w:rsidR="00C30378" w:rsidRPr="004C21F4" w:rsidRDefault="00C30378" w:rsidP="00C30378">
      <w:pPr>
        <w:rPr>
          <w:rFonts w:ascii="Arial" w:hAnsi="Arial" w:cs="Arial"/>
          <w:sz w:val="24"/>
          <w:szCs w:val="24"/>
        </w:rPr>
      </w:pPr>
      <w:r>
        <w:rPr>
          <w:rFonts w:ascii="Arial" w:hAnsi="Arial" w:cs="Arial"/>
          <w:sz w:val="24"/>
          <w:szCs w:val="24"/>
        </w:rPr>
        <w:t xml:space="preserve">Til þess að geta innleitt nýtt greiðsluþátttökukerfi í heilbrigðisþjónustu með þeim hætti sem lagt hefur verið fram verða undirstöður kerfisins að vera traustar. Eins og staðan er í dag getur heilsugæslan ekki tekið á móti nýjum hópum af sjúklingum og gagnagrunnur Sjúkratrygginga Íslands um greiðslur sjúkratryggðra er ekki tilbúinn, en samkvæmt frumvarpinu eiga lögin að taka gildi 1. júní 2016. </w:t>
      </w:r>
    </w:p>
    <w:p w:rsidR="00C30378" w:rsidRPr="004C21F4" w:rsidRDefault="00C30378" w:rsidP="00C30378">
      <w:pPr>
        <w:rPr>
          <w:rFonts w:ascii="Arial" w:hAnsi="Arial" w:cs="Arial"/>
          <w:b/>
          <w:sz w:val="24"/>
          <w:szCs w:val="24"/>
        </w:rPr>
      </w:pPr>
    </w:p>
    <w:p w:rsidR="00C30378" w:rsidRPr="004C21F4" w:rsidRDefault="00C30378" w:rsidP="00C30378">
      <w:pPr>
        <w:rPr>
          <w:rFonts w:ascii="Arial" w:hAnsi="Arial" w:cs="Arial"/>
          <w:b/>
          <w:sz w:val="24"/>
          <w:szCs w:val="24"/>
        </w:rPr>
      </w:pPr>
      <w:r w:rsidRPr="004C21F4">
        <w:rPr>
          <w:rFonts w:ascii="Arial" w:hAnsi="Arial" w:cs="Arial"/>
          <w:b/>
          <w:sz w:val="24"/>
          <w:szCs w:val="24"/>
        </w:rPr>
        <w:t>Kröfur ÖBÍ: Eitt greiðsluþátttökukerfi og lægri kostnaður sjúkratryggðra</w:t>
      </w:r>
    </w:p>
    <w:p w:rsidR="00C30378" w:rsidRPr="004C21F4" w:rsidRDefault="00C30378" w:rsidP="00C30378">
      <w:pPr>
        <w:pStyle w:val="Title"/>
        <w:spacing w:line="276" w:lineRule="auto"/>
        <w:rPr>
          <w:rFonts w:cs="Arial"/>
          <w:szCs w:val="24"/>
        </w:rPr>
      </w:pPr>
      <w:r>
        <w:rPr>
          <w:rFonts w:cs="Arial"/>
          <w:szCs w:val="24"/>
        </w:rPr>
        <w:t>A</w:t>
      </w:r>
      <w:r w:rsidRPr="004C21F4">
        <w:rPr>
          <w:rFonts w:cs="Arial"/>
          <w:szCs w:val="24"/>
        </w:rPr>
        <w:t>llar greiðslur vegna heilbrigðisþjónustu veiti rétt til afsláttar og hámarksþak verði sett á kostnað einstaklings</w:t>
      </w:r>
      <w:r>
        <w:rPr>
          <w:rFonts w:cs="Arial"/>
          <w:szCs w:val="24"/>
        </w:rPr>
        <w:t>, sem eru að hámarki 1/3 hluti af almennum kostnaði fyrir aldraða, öryrkja og ungmenni</w:t>
      </w:r>
      <w:r w:rsidRPr="004C21F4">
        <w:rPr>
          <w:rFonts w:cs="Arial"/>
          <w:szCs w:val="24"/>
        </w:rPr>
        <w:t xml:space="preserve">. </w:t>
      </w:r>
      <w:r>
        <w:rPr>
          <w:rFonts w:cs="Arial"/>
          <w:szCs w:val="24"/>
        </w:rPr>
        <w:t xml:space="preserve">Greiðsluþátttökukerfin verði sameinuð undir einu þaki og </w:t>
      </w:r>
      <w:r w:rsidRPr="00464F4B">
        <w:rPr>
          <w:rFonts w:cs="Arial"/>
          <w:szCs w:val="24"/>
          <w:u w:val="single"/>
        </w:rPr>
        <w:t>allur</w:t>
      </w:r>
      <w:r>
        <w:rPr>
          <w:rFonts w:cs="Arial"/>
          <w:szCs w:val="24"/>
        </w:rPr>
        <w:t xml:space="preserve"> heilbrigðiskostnaður, þ.m.t. </w:t>
      </w:r>
      <w:r w:rsidRPr="004C21F4">
        <w:rPr>
          <w:rFonts w:cs="Arial"/>
          <w:szCs w:val="24"/>
        </w:rPr>
        <w:t xml:space="preserve">komu- og endurkomugjöld, </w:t>
      </w:r>
      <w:r>
        <w:rPr>
          <w:rFonts w:cs="Arial"/>
          <w:szCs w:val="24"/>
        </w:rPr>
        <w:t xml:space="preserve">sjúkraflutningar, ferðakostnaður, </w:t>
      </w:r>
      <w:r w:rsidRPr="004C21F4">
        <w:rPr>
          <w:rFonts w:cs="Arial"/>
          <w:szCs w:val="24"/>
        </w:rPr>
        <w:t>rannsóknir, sálfræðiþjónust</w:t>
      </w:r>
      <w:r>
        <w:rPr>
          <w:rFonts w:cs="Arial"/>
          <w:szCs w:val="24"/>
        </w:rPr>
        <w:t>a</w:t>
      </w:r>
      <w:r w:rsidRPr="004C21F4">
        <w:rPr>
          <w:rFonts w:cs="Arial"/>
          <w:szCs w:val="24"/>
        </w:rPr>
        <w:t>, t</w:t>
      </w:r>
      <w:r>
        <w:rPr>
          <w:rFonts w:cs="Arial"/>
          <w:szCs w:val="24"/>
        </w:rPr>
        <w:t xml:space="preserve">annlækningar, næringarráðgjöf, </w:t>
      </w:r>
      <w:r w:rsidRPr="004C21F4">
        <w:rPr>
          <w:rFonts w:cs="Arial"/>
          <w:szCs w:val="24"/>
        </w:rPr>
        <w:t>tæknifrjóvgun, hjálpar</w:t>
      </w:r>
      <w:r>
        <w:rPr>
          <w:rFonts w:cs="Arial"/>
          <w:szCs w:val="24"/>
        </w:rPr>
        <w:t>tæki og annað sem út af stendur.</w:t>
      </w:r>
    </w:p>
    <w:p w:rsidR="00C30378" w:rsidRPr="004C21F4" w:rsidRDefault="00C30378" w:rsidP="00C30378">
      <w:pPr>
        <w:rPr>
          <w:rFonts w:ascii="Arial" w:hAnsi="Arial" w:cs="Arial"/>
          <w:sz w:val="24"/>
          <w:szCs w:val="24"/>
        </w:rPr>
      </w:pPr>
      <w:r>
        <w:rPr>
          <w:rFonts w:ascii="Arial" w:hAnsi="Arial" w:cs="Arial"/>
          <w:sz w:val="24"/>
          <w:szCs w:val="24"/>
        </w:rPr>
        <w:t>Í athugasemdum með frumvarpinu segir: "</w:t>
      </w:r>
      <w:r w:rsidRPr="004C21F4">
        <w:rPr>
          <w:rFonts w:ascii="Arial" w:hAnsi="Arial" w:cs="Arial"/>
          <w:sz w:val="24"/>
          <w:szCs w:val="24"/>
        </w:rPr>
        <w:t>Í frumvarpinu er gert ráð fyrir því að Sjúkratryggingar Íslands beri ábyrgð á og starfræki gagnagrunn með þeim upplýsingum um greiðslur sjúkratryggðra sem eru nauðsynlegar vegna greiðsluþátttökukerfis heilbrigðisþjónustunnar til að reikna út greiðslur þeirra og greiðsluþátttöku sjúkratrygginga við kaup á heilbrigðisþjónustu." Ástæða þess að sálfræðiþjónusta, tannlækningar og annað sem stendur utan kerfa gerir þa</w:t>
      </w:r>
      <w:r w:rsidR="00464F4B">
        <w:rPr>
          <w:rFonts w:ascii="Arial" w:hAnsi="Arial" w:cs="Arial"/>
          <w:sz w:val="24"/>
          <w:szCs w:val="24"/>
        </w:rPr>
        <w:t>ð áfram er að sögn sérfræðings v</w:t>
      </w:r>
      <w:r w:rsidRPr="004C21F4">
        <w:rPr>
          <w:rFonts w:ascii="Arial" w:hAnsi="Arial" w:cs="Arial"/>
          <w:sz w:val="24"/>
          <w:szCs w:val="24"/>
        </w:rPr>
        <w:t xml:space="preserve">elferðarráðuneytisins sú að SÍ hefur ekki nægilegar </w:t>
      </w:r>
      <w:r w:rsidRPr="004C21F4">
        <w:rPr>
          <w:rFonts w:ascii="Arial" w:hAnsi="Arial" w:cs="Arial"/>
          <w:sz w:val="24"/>
          <w:szCs w:val="24"/>
        </w:rPr>
        <w:lastRenderedPageBreak/>
        <w:t xml:space="preserve">upplýsingar um þessa þjónustu til að fella hana undir greiðsluþátttökukerfi og því bera sjúklingar allan kostnað áfram vegna þeirrar þjónustu. Einhvers staðar verður gagnasöfnun að byrja og krafa ÖBÍ er að úttekt verði gerð öllum kostnaði í heilbrigðisþjónustu til að greiða fyrir tilkomu eins greiðsluþátttökukerfis. </w:t>
      </w:r>
    </w:p>
    <w:p w:rsidR="00464F4B" w:rsidRDefault="00464F4B" w:rsidP="00464F4B">
      <w:pPr>
        <w:rPr>
          <w:rFonts w:ascii="Arial" w:hAnsi="Arial" w:cs="Arial"/>
          <w:sz w:val="24"/>
          <w:szCs w:val="24"/>
        </w:rPr>
      </w:pPr>
      <w:r>
        <w:rPr>
          <w:rFonts w:ascii="Arial" w:hAnsi="Arial" w:cs="Arial"/>
          <w:sz w:val="24"/>
          <w:szCs w:val="24"/>
        </w:rPr>
        <w:t xml:space="preserve">Óhlutlægum aðila verði falið að gera faglega úttekt á greiðsluþátttökukerfum innan heilbrigðiskerfisins og hve mikinn kostnað mismunandi hópar þurfa að bera. </w:t>
      </w:r>
    </w:p>
    <w:p w:rsidR="00C30378" w:rsidRPr="004C21F4" w:rsidRDefault="00C30378" w:rsidP="00C30378">
      <w:pPr>
        <w:rPr>
          <w:rFonts w:ascii="Arial" w:hAnsi="Arial" w:cs="Arial"/>
          <w:sz w:val="24"/>
          <w:szCs w:val="24"/>
        </w:rPr>
      </w:pPr>
      <w:r>
        <w:rPr>
          <w:rFonts w:ascii="Arial" w:hAnsi="Arial" w:cs="Arial"/>
          <w:sz w:val="24"/>
          <w:szCs w:val="24"/>
        </w:rPr>
        <w:t>F</w:t>
      </w:r>
      <w:r w:rsidRPr="004C21F4">
        <w:rPr>
          <w:rFonts w:ascii="Arial" w:hAnsi="Arial" w:cs="Arial"/>
          <w:sz w:val="24"/>
          <w:szCs w:val="24"/>
        </w:rPr>
        <w:t xml:space="preserve">ramlög hins opinbera verði til jafns við Svíþjóð </w:t>
      </w:r>
      <w:r>
        <w:rPr>
          <w:rFonts w:ascii="Arial" w:hAnsi="Arial" w:cs="Arial"/>
          <w:sz w:val="24"/>
          <w:szCs w:val="24"/>
        </w:rPr>
        <w:t>miðað við verga landsframleiðslu.</w:t>
      </w:r>
    </w:p>
    <w:p w:rsidR="00464F4B" w:rsidRDefault="00464F4B" w:rsidP="00464F4B">
      <w:pPr>
        <w:rPr>
          <w:rFonts w:ascii="Arial" w:hAnsi="Arial" w:cs="Arial"/>
          <w:b/>
          <w:sz w:val="24"/>
          <w:szCs w:val="24"/>
        </w:rPr>
      </w:pPr>
      <w:r>
        <w:rPr>
          <w:rFonts w:ascii="Arial" w:hAnsi="Arial" w:cs="Arial"/>
          <w:sz w:val="24"/>
          <w:szCs w:val="24"/>
        </w:rPr>
        <w:t xml:space="preserve">Greiðsluþátttökukerfi verði lög, en ekki rammalög með reglugerðum, því þá eru heimildir ráðherra til breytinga of miklar og hætta á að réttindi verði skert án samráðs. </w:t>
      </w:r>
    </w:p>
    <w:p w:rsidR="00C30378" w:rsidRPr="004C21F4" w:rsidRDefault="00C30378" w:rsidP="00C30378">
      <w:pPr>
        <w:rPr>
          <w:rFonts w:ascii="Arial" w:hAnsi="Arial" w:cs="Arial"/>
          <w:sz w:val="24"/>
          <w:szCs w:val="24"/>
        </w:rPr>
      </w:pPr>
    </w:p>
    <w:p w:rsidR="00C30378" w:rsidRPr="004C21F4" w:rsidRDefault="00464F4B" w:rsidP="00C30378">
      <w:pPr>
        <w:tabs>
          <w:tab w:val="left" w:pos="1290"/>
        </w:tabs>
        <w:rPr>
          <w:rFonts w:ascii="Arial" w:hAnsi="Arial" w:cs="Arial"/>
          <w:b/>
          <w:sz w:val="24"/>
          <w:szCs w:val="24"/>
        </w:rPr>
      </w:pPr>
      <w:r>
        <w:rPr>
          <w:rFonts w:ascii="Arial" w:hAnsi="Arial" w:cs="Arial"/>
          <w:b/>
          <w:sz w:val="24"/>
          <w:szCs w:val="24"/>
        </w:rPr>
        <w:t>Ekkert samráð við ÖBÍ</w:t>
      </w:r>
    </w:p>
    <w:p w:rsidR="00C30378" w:rsidRPr="004C21F4" w:rsidRDefault="00C30378" w:rsidP="00C30378">
      <w:pPr>
        <w:tabs>
          <w:tab w:val="left" w:pos="1290"/>
        </w:tabs>
        <w:rPr>
          <w:rFonts w:ascii="Arial" w:hAnsi="Arial" w:cs="Arial"/>
          <w:sz w:val="24"/>
          <w:szCs w:val="24"/>
        </w:rPr>
      </w:pPr>
      <w:r>
        <w:rPr>
          <w:rFonts w:ascii="Arial" w:hAnsi="Arial" w:cs="Arial"/>
          <w:sz w:val="24"/>
          <w:szCs w:val="24"/>
        </w:rPr>
        <w:t>Afar mikilvægt er að fulltrúar notenda komi að vinnu við kerfisbreytingar stjórnvalda, en ÖBÍ átti ekki</w:t>
      </w:r>
      <w:r w:rsidRPr="004C21F4">
        <w:rPr>
          <w:rFonts w:ascii="Arial" w:hAnsi="Arial" w:cs="Arial"/>
          <w:sz w:val="24"/>
          <w:szCs w:val="24"/>
        </w:rPr>
        <w:t xml:space="preserve"> sæti í nefndum eða vinnuhópum um nýtt greiðsluþátttökukerfi í heilbrigðiþjónustu</w:t>
      </w:r>
      <w:r>
        <w:rPr>
          <w:rFonts w:ascii="Arial" w:hAnsi="Arial" w:cs="Arial"/>
          <w:sz w:val="24"/>
          <w:szCs w:val="24"/>
        </w:rPr>
        <w:t xml:space="preserve"> þrátt fyrir ítrekaðar beiðnir þar um.</w:t>
      </w:r>
    </w:p>
    <w:p w:rsidR="00C30378" w:rsidRPr="004C21F4" w:rsidRDefault="00C30378" w:rsidP="00C30378">
      <w:pPr>
        <w:tabs>
          <w:tab w:val="left" w:pos="1290"/>
        </w:tabs>
        <w:rPr>
          <w:rFonts w:ascii="Arial" w:hAnsi="Arial" w:cs="Arial"/>
          <w:sz w:val="24"/>
          <w:szCs w:val="24"/>
        </w:rPr>
      </w:pPr>
      <w:r>
        <w:rPr>
          <w:rFonts w:ascii="Arial" w:hAnsi="Arial" w:cs="Arial"/>
          <w:sz w:val="24"/>
          <w:szCs w:val="24"/>
        </w:rPr>
        <w:t xml:space="preserve">Í kafla V. í athugasemdum um frumvarpið er talað um nefndin hafi haft samráð við ÖBÍ vegna nýs greiðsluþátttökukerfis.  Ekki </w:t>
      </w:r>
      <w:r w:rsidRPr="004C21F4">
        <w:rPr>
          <w:rFonts w:ascii="Arial" w:hAnsi="Arial" w:cs="Arial"/>
          <w:sz w:val="24"/>
          <w:szCs w:val="24"/>
        </w:rPr>
        <w:t xml:space="preserve">er hægt að kalla fyrirkomulag nefndarinnar um að boða ÖBÍ á einn fund og útskýra reiknireglur á öðrum fundi samráð eins og gert er í </w:t>
      </w:r>
      <w:r>
        <w:rPr>
          <w:rFonts w:ascii="Arial" w:hAnsi="Arial" w:cs="Arial"/>
          <w:sz w:val="24"/>
          <w:szCs w:val="24"/>
        </w:rPr>
        <w:t>kaflanum.</w:t>
      </w:r>
    </w:p>
    <w:p w:rsidR="00C30378" w:rsidRPr="004C21F4" w:rsidRDefault="00C30378" w:rsidP="00C30378">
      <w:pPr>
        <w:tabs>
          <w:tab w:val="left" w:pos="1290"/>
        </w:tabs>
        <w:rPr>
          <w:rFonts w:ascii="Arial" w:hAnsi="Arial" w:cs="Arial"/>
          <w:sz w:val="24"/>
          <w:szCs w:val="24"/>
        </w:rPr>
      </w:pPr>
      <w:r w:rsidRPr="004C21F4">
        <w:rPr>
          <w:rFonts w:ascii="Arial" w:hAnsi="Arial" w:cs="Arial"/>
          <w:sz w:val="24"/>
          <w:szCs w:val="24"/>
        </w:rPr>
        <w:t>Ekkert um okkur án okkar</w:t>
      </w:r>
      <w:r>
        <w:rPr>
          <w:rFonts w:ascii="Arial" w:hAnsi="Arial" w:cs="Arial"/>
          <w:sz w:val="24"/>
          <w:szCs w:val="24"/>
        </w:rPr>
        <w:t>!</w:t>
      </w:r>
    </w:p>
    <w:p w:rsidR="00C30378" w:rsidRPr="004C21F4" w:rsidRDefault="00C30378" w:rsidP="00C30378">
      <w:pPr>
        <w:rPr>
          <w:rFonts w:ascii="Arial" w:hAnsi="Arial" w:cs="Arial"/>
          <w:sz w:val="24"/>
          <w:szCs w:val="24"/>
        </w:rPr>
      </w:pPr>
    </w:p>
    <w:p w:rsidR="00867437" w:rsidRDefault="00600D2E" w:rsidP="00C30378">
      <w:pPr>
        <w:tabs>
          <w:tab w:val="left" w:pos="2694"/>
        </w:tabs>
        <w:spacing w:after="0"/>
        <w:contextualSpacing/>
        <w:jc w:val="both"/>
        <w:rPr>
          <w:rFonts w:ascii="Arial" w:hAnsi="Arial" w:cs="Arial"/>
          <w:sz w:val="24"/>
          <w:szCs w:val="24"/>
        </w:rPr>
      </w:pPr>
      <w:r>
        <w:rPr>
          <w:rFonts w:ascii="Arial" w:hAnsi="Arial" w:cs="Arial"/>
          <w:sz w:val="24"/>
          <w:szCs w:val="24"/>
        </w:rPr>
        <w:t>Ekkert um okkur án okkar!</w:t>
      </w:r>
    </w:p>
    <w:p w:rsidR="00867437" w:rsidRPr="009C6F4E" w:rsidRDefault="00867437" w:rsidP="005C6995">
      <w:pPr>
        <w:tabs>
          <w:tab w:val="left" w:pos="2694"/>
        </w:tabs>
        <w:spacing w:after="0"/>
        <w:jc w:val="both"/>
        <w:rPr>
          <w:rFonts w:ascii="Arial" w:hAnsi="Arial" w:cs="Arial"/>
          <w:sz w:val="24"/>
          <w:szCs w:val="24"/>
        </w:rPr>
      </w:pPr>
    </w:p>
    <w:p w:rsidR="00867437" w:rsidRPr="009C6F4E" w:rsidRDefault="00867437" w:rsidP="005C6995">
      <w:pPr>
        <w:tabs>
          <w:tab w:val="left" w:pos="2694"/>
        </w:tabs>
        <w:spacing w:after="0"/>
        <w:jc w:val="both"/>
        <w:rPr>
          <w:rFonts w:ascii="Arial" w:hAnsi="Arial" w:cs="Arial"/>
          <w:sz w:val="24"/>
          <w:szCs w:val="24"/>
        </w:rPr>
      </w:pPr>
    </w:p>
    <w:p w:rsidR="00867437" w:rsidRPr="009C6F4E" w:rsidRDefault="00867437" w:rsidP="005C6995">
      <w:pPr>
        <w:tabs>
          <w:tab w:val="left" w:pos="2694"/>
        </w:tabs>
        <w:spacing w:after="0"/>
        <w:jc w:val="center"/>
        <w:rPr>
          <w:rFonts w:ascii="Arial" w:hAnsi="Arial" w:cs="Arial"/>
          <w:sz w:val="24"/>
          <w:szCs w:val="24"/>
        </w:rPr>
      </w:pPr>
      <w:r w:rsidRPr="009C6F4E">
        <w:rPr>
          <w:rFonts w:ascii="Arial" w:hAnsi="Arial" w:cs="Arial"/>
          <w:sz w:val="24"/>
          <w:szCs w:val="24"/>
        </w:rPr>
        <w:t>Með vinsemd og virðingu,</w:t>
      </w:r>
    </w:p>
    <w:p w:rsidR="00867437" w:rsidRPr="009C6F4E" w:rsidRDefault="00867437" w:rsidP="005C6995">
      <w:pPr>
        <w:tabs>
          <w:tab w:val="left" w:pos="2694"/>
        </w:tabs>
        <w:spacing w:after="0"/>
        <w:jc w:val="center"/>
        <w:rPr>
          <w:rFonts w:ascii="Arial" w:hAnsi="Arial" w:cs="Arial"/>
          <w:sz w:val="24"/>
          <w:szCs w:val="24"/>
        </w:rPr>
      </w:pPr>
    </w:p>
    <w:p w:rsidR="00867437" w:rsidRDefault="00867437" w:rsidP="005C6995">
      <w:pPr>
        <w:tabs>
          <w:tab w:val="left" w:pos="2694"/>
        </w:tabs>
        <w:spacing w:after="0"/>
        <w:jc w:val="center"/>
        <w:rPr>
          <w:rFonts w:ascii="Arial" w:hAnsi="Arial" w:cs="Arial"/>
        </w:rPr>
      </w:pPr>
      <w:r>
        <w:rPr>
          <w:rFonts w:ascii="Arial" w:hAnsi="Arial" w:cs="Arial"/>
          <w:noProof/>
          <w:lang w:eastAsia="is-IS"/>
        </w:rPr>
        <w:drawing>
          <wp:inline distT="0" distB="0" distL="0" distR="0" wp14:anchorId="0C73641F" wp14:editId="41D4B654">
            <wp:extent cx="2048510" cy="615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615950"/>
                    </a:xfrm>
                    <a:prstGeom prst="rect">
                      <a:avLst/>
                    </a:prstGeom>
                    <a:noFill/>
                  </pic:spPr>
                </pic:pic>
              </a:graphicData>
            </a:graphic>
          </wp:inline>
        </w:drawing>
      </w:r>
    </w:p>
    <w:p w:rsidR="00867437" w:rsidRPr="001307BA" w:rsidRDefault="00867437" w:rsidP="005C6995">
      <w:pPr>
        <w:tabs>
          <w:tab w:val="left" w:pos="2694"/>
        </w:tabs>
        <w:spacing w:after="0"/>
        <w:jc w:val="center"/>
        <w:rPr>
          <w:rFonts w:ascii="Arial" w:hAnsi="Arial" w:cs="Arial"/>
        </w:rPr>
      </w:pPr>
      <w:r w:rsidRPr="001307BA">
        <w:rPr>
          <w:rFonts w:ascii="Arial" w:hAnsi="Arial" w:cs="Arial"/>
        </w:rPr>
        <w:t>________________________________</w:t>
      </w:r>
    </w:p>
    <w:p w:rsidR="00867437" w:rsidRPr="001307BA" w:rsidRDefault="00867437" w:rsidP="005C6995">
      <w:pPr>
        <w:tabs>
          <w:tab w:val="left" w:pos="2694"/>
        </w:tabs>
        <w:spacing w:after="0"/>
        <w:jc w:val="center"/>
        <w:rPr>
          <w:rFonts w:ascii="Arial" w:hAnsi="Arial" w:cs="Arial"/>
        </w:rPr>
      </w:pPr>
    </w:p>
    <w:p w:rsidR="00867437" w:rsidRPr="001307BA" w:rsidRDefault="00867437" w:rsidP="005C6995">
      <w:pPr>
        <w:tabs>
          <w:tab w:val="left" w:pos="2694"/>
        </w:tabs>
        <w:spacing w:after="0"/>
        <w:jc w:val="center"/>
        <w:rPr>
          <w:rFonts w:ascii="Arial" w:hAnsi="Arial" w:cs="Arial"/>
        </w:rPr>
      </w:pPr>
      <w:r w:rsidRPr="001307BA">
        <w:rPr>
          <w:rFonts w:ascii="Arial" w:hAnsi="Arial" w:cs="Arial"/>
        </w:rPr>
        <w:t>Ellen Calmon</w:t>
      </w:r>
      <w:r w:rsidR="003A2DD2">
        <w:rPr>
          <w:rFonts w:ascii="Arial" w:hAnsi="Arial" w:cs="Arial"/>
        </w:rPr>
        <w:t>,</w:t>
      </w:r>
    </w:p>
    <w:p w:rsidR="00867437" w:rsidRPr="001307BA" w:rsidRDefault="00867437" w:rsidP="005C6995">
      <w:pPr>
        <w:tabs>
          <w:tab w:val="left" w:pos="2694"/>
        </w:tabs>
        <w:spacing w:after="0"/>
        <w:jc w:val="center"/>
        <w:rPr>
          <w:rFonts w:ascii="Arial" w:hAnsi="Arial" w:cs="Arial"/>
        </w:rPr>
      </w:pPr>
      <w:r w:rsidRPr="001307BA">
        <w:rPr>
          <w:rFonts w:ascii="Arial" w:hAnsi="Arial" w:cs="Arial"/>
        </w:rPr>
        <w:t>formaður ÖBÍ</w:t>
      </w:r>
    </w:p>
    <w:p w:rsidR="00867437" w:rsidRPr="001307BA" w:rsidRDefault="00867437" w:rsidP="005C6995">
      <w:pPr>
        <w:spacing w:after="0"/>
        <w:jc w:val="center"/>
        <w:rPr>
          <w:rFonts w:ascii="Arial" w:hAnsi="Arial" w:cs="Arial"/>
        </w:rPr>
      </w:pPr>
    </w:p>
    <w:p w:rsidR="00867437" w:rsidRPr="001307BA" w:rsidRDefault="00867437" w:rsidP="005C6995">
      <w:pPr>
        <w:spacing w:after="0"/>
        <w:jc w:val="center"/>
        <w:rPr>
          <w:rFonts w:ascii="Arial" w:hAnsi="Arial" w:cs="Arial"/>
        </w:rPr>
      </w:pPr>
    </w:p>
    <w:p w:rsidR="00867437" w:rsidRPr="001307BA" w:rsidRDefault="00867437" w:rsidP="005C6995">
      <w:pPr>
        <w:spacing w:after="0"/>
        <w:jc w:val="both"/>
        <w:rPr>
          <w:rFonts w:ascii="Arial" w:hAnsi="Arial" w:cs="Arial"/>
        </w:rPr>
      </w:pPr>
    </w:p>
    <w:p w:rsidR="00E813A1" w:rsidRDefault="00E813A1" w:rsidP="005C6995">
      <w:pPr>
        <w:spacing w:after="0"/>
        <w:contextualSpacing/>
        <w:jc w:val="both"/>
        <w:rPr>
          <w:rFonts w:ascii="Arial" w:hAnsi="Arial" w:cs="Arial"/>
          <w:sz w:val="24"/>
          <w:szCs w:val="24"/>
          <w:highlight w:val="yellow"/>
        </w:rPr>
      </w:pPr>
    </w:p>
    <w:p w:rsidR="00A310D2" w:rsidRDefault="00A310D2" w:rsidP="005C6995">
      <w:pPr>
        <w:spacing w:after="0"/>
        <w:rPr>
          <w:rFonts w:ascii="Arial" w:eastAsia="Times New Roman" w:hAnsi="Arial" w:cs="Arial"/>
          <w:b/>
          <w:sz w:val="24"/>
          <w:szCs w:val="24"/>
          <w:lang w:eastAsia="is-IS"/>
        </w:rPr>
      </w:pPr>
    </w:p>
    <w:p w:rsidR="0067412A" w:rsidRPr="00A310D2" w:rsidRDefault="0067412A" w:rsidP="005C6995">
      <w:pPr>
        <w:spacing w:after="0"/>
        <w:rPr>
          <w:rFonts w:ascii="Arial" w:eastAsia="Times New Roman" w:hAnsi="Arial" w:cs="Arial"/>
          <w:sz w:val="20"/>
          <w:szCs w:val="20"/>
          <w:lang w:eastAsia="is-IS"/>
        </w:rPr>
      </w:pPr>
    </w:p>
    <w:sectPr w:rsidR="0067412A" w:rsidRPr="00A310D2" w:rsidSect="00CB16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AC" w:rsidRDefault="00845BAC" w:rsidP="00072B77">
      <w:pPr>
        <w:spacing w:after="0" w:line="240" w:lineRule="auto"/>
      </w:pPr>
      <w:r>
        <w:separator/>
      </w:r>
    </w:p>
  </w:endnote>
  <w:endnote w:type="continuationSeparator" w:id="0">
    <w:p w:rsidR="00845BAC" w:rsidRDefault="00845BAC" w:rsidP="0007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32620"/>
      <w:docPartObj>
        <w:docPartGallery w:val="Page Numbers (Bottom of Page)"/>
        <w:docPartUnique/>
      </w:docPartObj>
    </w:sdtPr>
    <w:sdtEndPr>
      <w:rPr>
        <w:noProof/>
      </w:rPr>
    </w:sdtEndPr>
    <w:sdtContent>
      <w:p w:rsidR="00DC3080" w:rsidRDefault="00DC3080">
        <w:pPr>
          <w:pStyle w:val="Footer"/>
        </w:pPr>
        <w:r>
          <w:fldChar w:fldCharType="begin"/>
        </w:r>
        <w:r>
          <w:instrText xml:space="preserve"> PAGE   \* MERGEFORMAT </w:instrText>
        </w:r>
        <w:r>
          <w:fldChar w:fldCharType="separate"/>
        </w:r>
        <w:r w:rsidR="005A271A">
          <w:rPr>
            <w:noProof/>
          </w:rPr>
          <w:t>2</w:t>
        </w:r>
        <w:r>
          <w:rPr>
            <w:noProof/>
          </w:rPr>
          <w:fldChar w:fldCharType="end"/>
        </w:r>
      </w:p>
    </w:sdtContent>
  </w:sdt>
  <w:p w:rsidR="00DC3080" w:rsidRDefault="00DC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AC" w:rsidRDefault="00845BAC" w:rsidP="00072B77">
      <w:pPr>
        <w:spacing w:after="0" w:line="240" w:lineRule="auto"/>
      </w:pPr>
      <w:r>
        <w:separator/>
      </w:r>
    </w:p>
  </w:footnote>
  <w:footnote w:type="continuationSeparator" w:id="0">
    <w:p w:rsidR="00845BAC" w:rsidRDefault="00845BAC" w:rsidP="00072B77">
      <w:pPr>
        <w:spacing w:after="0" w:line="240" w:lineRule="auto"/>
      </w:pPr>
      <w:r>
        <w:continuationSeparator/>
      </w:r>
    </w:p>
  </w:footnote>
  <w:footnote w:id="1">
    <w:p w:rsidR="00464F4B" w:rsidRDefault="00464F4B" w:rsidP="00464F4B">
      <w:pPr>
        <w:pStyle w:val="FootnoteText"/>
      </w:pPr>
      <w:r>
        <w:rPr>
          <w:rStyle w:val="FootnoteReference"/>
        </w:rPr>
        <w:footnoteRef/>
      </w:r>
      <w:r>
        <w:t xml:space="preserve"> </w:t>
      </w:r>
      <w:hyperlink r:id="rId1" w:history="1">
        <w:r w:rsidRPr="0055526C">
          <w:rPr>
            <w:rStyle w:val="Hyperlink"/>
          </w:rPr>
          <w:t>https://www.youtube.com/watch?v=c7ZP2yY4n_Q&amp;t=3196s</w:t>
        </w:r>
      </w:hyperlink>
      <w:r>
        <w:t xml:space="preserve"> </w:t>
      </w:r>
    </w:p>
  </w:footnote>
  <w:footnote w:id="2">
    <w:p w:rsidR="00C30378" w:rsidRDefault="00C30378" w:rsidP="00C30378">
      <w:pPr>
        <w:pStyle w:val="FootnoteText"/>
      </w:pPr>
      <w:r>
        <w:rPr>
          <w:rStyle w:val="FootnoteReference"/>
        </w:rPr>
        <w:footnoteRef/>
      </w:r>
      <w:r>
        <w:t xml:space="preserve"> </w:t>
      </w:r>
      <w:hyperlink r:id="rId2" w:history="1">
        <w:r w:rsidRPr="0055526C">
          <w:rPr>
            <w:rStyle w:val="Hyperlink"/>
          </w:rPr>
          <w:t>http://www.obi.is/static/files/skjol/ppt-glaerur/glaerur-gunnar-alexanders-olafssonar-vegna-greidsluthatttoku-obi-april-2016.pptx</w:t>
        </w:r>
      </w:hyperlink>
      <w:r>
        <w:t xml:space="preserve"> </w:t>
      </w:r>
    </w:p>
  </w:footnote>
  <w:footnote w:id="3">
    <w:p w:rsidR="00C30378" w:rsidRDefault="00C30378" w:rsidP="00C30378">
      <w:pPr>
        <w:pStyle w:val="FootnoteText"/>
      </w:pPr>
      <w:r>
        <w:rPr>
          <w:rStyle w:val="FootnoteReference"/>
        </w:rPr>
        <w:footnoteRef/>
      </w:r>
      <w:r>
        <w:t xml:space="preserve"> </w:t>
      </w:r>
      <w:hyperlink r:id="rId3" w:history="1">
        <w:r w:rsidRPr="0055526C">
          <w:rPr>
            <w:rStyle w:val="Hyperlink"/>
          </w:rPr>
          <w:t>http://www.tr.is/media/fjarhaedir/Utreikningur-lifeyris-og-tengdra-bota-januar-2015_2.pdf</w:t>
        </w:r>
      </w:hyperlink>
      <w:r>
        <w:t xml:space="preserve"> </w:t>
      </w:r>
    </w:p>
  </w:footnote>
  <w:footnote w:id="4">
    <w:p w:rsidR="00C30378" w:rsidRDefault="00C30378" w:rsidP="00C30378">
      <w:pPr>
        <w:pStyle w:val="FootnoteText"/>
      </w:pPr>
      <w:r>
        <w:rPr>
          <w:rStyle w:val="FootnoteReference"/>
        </w:rPr>
        <w:footnoteRef/>
      </w:r>
      <w:r>
        <w:t xml:space="preserve"> </w:t>
      </w:r>
      <w:hyperlink r:id="rId4" w:history="1">
        <w:r w:rsidRPr="0055526C">
          <w:rPr>
            <w:rStyle w:val="Hyperlink"/>
          </w:rPr>
          <w:t>https://www.althingi.is/altext/pdf/145/s/0001.pdf</w:t>
        </w:r>
      </w:hyperlink>
      <w:r>
        <w:t xml:space="preserve"> bls. 78</w:t>
      </w:r>
    </w:p>
  </w:footnote>
  <w:footnote w:id="5">
    <w:p w:rsidR="00C30378" w:rsidRDefault="00C30378" w:rsidP="00C30378">
      <w:pPr>
        <w:pStyle w:val="FootnoteText"/>
      </w:pPr>
      <w:r>
        <w:rPr>
          <w:rStyle w:val="FootnoteReference"/>
        </w:rPr>
        <w:footnoteRef/>
      </w:r>
      <w:r>
        <w:t xml:space="preserve"> </w:t>
      </w:r>
      <w:hyperlink r:id="rId5" w:history="1">
        <w:r w:rsidRPr="0055526C">
          <w:rPr>
            <w:rStyle w:val="Hyperlink"/>
          </w:rPr>
          <w:t>http://www.obi.is/static/files/skjol/ppt-glaerur/glaerur-gunnar-alexanders-olafssonar-vegna-greidsluthatttoku-obi-april-2016.pptx</w:t>
        </w:r>
      </w:hyperlink>
      <w:r>
        <w:t xml:space="preserve"> </w:t>
      </w:r>
    </w:p>
  </w:footnote>
  <w:footnote w:id="6">
    <w:p w:rsidR="00C30378" w:rsidRDefault="00C30378" w:rsidP="00C30378">
      <w:pPr>
        <w:pStyle w:val="FootnoteText"/>
      </w:pPr>
      <w:r>
        <w:rPr>
          <w:rStyle w:val="FootnoteReference"/>
        </w:rPr>
        <w:footnoteRef/>
      </w:r>
      <w:r>
        <w:t xml:space="preserve"> </w:t>
      </w:r>
      <w:hyperlink r:id="rId6" w:history="1">
        <w:r w:rsidRPr="0055526C">
          <w:rPr>
            <w:rStyle w:val="Hyperlink"/>
          </w:rPr>
          <w:t>http://bsrb.is/library/Skrar-a-vef-ymsar/R%C3%BAnar%20Vilhj%C3%A1lmsson%20-%20Er%20einkarekstur%20%C3%AD%20heilbrig%C3%B0is%C3%BEj%C3%B3nustu%20almannahagur.pdf</w:t>
        </w:r>
      </w:hyperlink>
      <w:r>
        <w:t xml:space="preserve"> </w:t>
      </w:r>
    </w:p>
  </w:footnote>
  <w:footnote w:id="7">
    <w:p w:rsidR="00C30378" w:rsidRDefault="00C30378" w:rsidP="00C30378">
      <w:pPr>
        <w:pStyle w:val="FootnoteText"/>
      </w:pPr>
      <w:r>
        <w:rPr>
          <w:rStyle w:val="FootnoteReference"/>
        </w:rPr>
        <w:footnoteRef/>
      </w:r>
      <w:r>
        <w:t xml:space="preserve"> </w:t>
      </w:r>
      <w:hyperlink r:id="rId7" w:history="1">
        <w:r w:rsidRPr="0055526C">
          <w:rPr>
            <w:rStyle w:val="Hyperlink"/>
          </w:rPr>
          <w:t>http://kjarninn.is/frettir/2016-04-30-kari-afhendir-staerstu-undirskriftarsofnun-islandssogunnar/</w:t>
        </w:r>
      </w:hyperlink>
      <w:r>
        <w:t xml:space="preserve"> </w:t>
      </w:r>
    </w:p>
  </w:footnote>
  <w:footnote w:id="8">
    <w:p w:rsidR="00C30378" w:rsidRDefault="00C30378" w:rsidP="00C30378">
      <w:pPr>
        <w:pStyle w:val="FootnoteText"/>
      </w:pPr>
      <w:r>
        <w:rPr>
          <w:rStyle w:val="FootnoteReference"/>
        </w:rPr>
        <w:footnoteRef/>
      </w:r>
      <w:r>
        <w:t xml:space="preserve"> </w:t>
      </w:r>
      <w:hyperlink r:id="rId8" w:history="1">
        <w:r w:rsidRPr="0055526C">
          <w:rPr>
            <w:rStyle w:val="Hyperlink"/>
          </w:rPr>
          <w:t>http://bsrb.is/library/Skrar-a-vef-ymsar/R%C3%BAnar%20Vilhj%C3%A1lmsson%20-%20Er%20einkarekstur%20%C3%AD%20heilbrig%C3%B0is%C3%BEj%C3%B3nustu%20almannahagur.pdf</w:t>
        </w:r>
      </w:hyperlink>
      <w:r>
        <w:t xml:space="preserve"> </w:t>
      </w:r>
    </w:p>
  </w:footnote>
  <w:footnote w:id="9">
    <w:p w:rsidR="00C30378" w:rsidRDefault="00C30378" w:rsidP="00C30378">
      <w:pPr>
        <w:pStyle w:val="FootnoteText"/>
      </w:pPr>
      <w:r>
        <w:rPr>
          <w:rStyle w:val="FootnoteReference"/>
        </w:rPr>
        <w:footnoteRef/>
      </w:r>
      <w:r>
        <w:t xml:space="preserve"> </w:t>
      </w:r>
      <w:hyperlink r:id="rId9" w:history="1">
        <w:r w:rsidRPr="0055526C">
          <w:rPr>
            <w:rStyle w:val="Hyperlink"/>
          </w:rPr>
          <w:t>http://www.obi.is/static/files/skjol/ppt-glaerur/glaerur-gunnar-alexanders-olafssonar-vegna-greidsluthatttoku-obi-april-2016.pptx</w:t>
        </w:r>
      </w:hyperlink>
    </w:p>
  </w:footnote>
  <w:footnote w:id="10">
    <w:p w:rsidR="00C30378" w:rsidRDefault="00C30378" w:rsidP="00C30378">
      <w:pPr>
        <w:pStyle w:val="FootnoteText"/>
      </w:pPr>
      <w:r>
        <w:rPr>
          <w:rStyle w:val="FootnoteReference"/>
        </w:rPr>
        <w:footnoteRef/>
      </w:r>
      <w:r>
        <w:t xml:space="preserve"> </w:t>
      </w:r>
      <w:hyperlink r:id="rId10" w:history="1">
        <w:r w:rsidRPr="0055526C">
          <w:rPr>
            <w:rStyle w:val="Hyperlink"/>
          </w:rPr>
          <w:t>http://bsrb.is/library/Skrar-a-vef-ymsar/R%C3%BAnar%20Vilhj%C3%A1lmsson%20-%20Er%20einkarekstur%20%C3%AD%20heilbrig%C3%B0is%C3%BEj%C3%B3nustu%20almannahagur.pdf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E26"/>
    <w:multiLevelType w:val="hybridMultilevel"/>
    <w:tmpl w:val="407E9A5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1CC7B2D"/>
    <w:multiLevelType w:val="hybridMultilevel"/>
    <w:tmpl w:val="82EAB0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F5927B5"/>
    <w:multiLevelType w:val="hybridMultilevel"/>
    <w:tmpl w:val="23E093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8AF56E3"/>
    <w:multiLevelType w:val="hybridMultilevel"/>
    <w:tmpl w:val="409AD7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F4B5013"/>
    <w:multiLevelType w:val="hybridMultilevel"/>
    <w:tmpl w:val="C082D8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F1634EA"/>
    <w:multiLevelType w:val="hybridMultilevel"/>
    <w:tmpl w:val="800A9E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BF1684D"/>
    <w:multiLevelType w:val="hybridMultilevel"/>
    <w:tmpl w:val="E702FA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D780E2C"/>
    <w:multiLevelType w:val="hybridMultilevel"/>
    <w:tmpl w:val="C2CA63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FD11CFA"/>
    <w:multiLevelType w:val="hybridMultilevel"/>
    <w:tmpl w:val="5FACA1C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00E11AB"/>
    <w:multiLevelType w:val="hybridMultilevel"/>
    <w:tmpl w:val="DF7AE1CC"/>
    <w:lvl w:ilvl="0" w:tplc="23827506">
      <w:start w:val="10"/>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92C575C"/>
    <w:multiLevelType w:val="hybridMultilevel"/>
    <w:tmpl w:val="481CBB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4"/>
  </w:num>
  <w:num w:numId="6">
    <w:abstractNumId w:val="1"/>
  </w:num>
  <w:num w:numId="7">
    <w:abstractNumId w:val="10"/>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7"/>
    <w:rsid w:val="00002134"/>
    <w:rsid w:val="00010C64"/>
    <w:rsid w:val="00014BDA"/>
    <w:rsid w:val="000167B8"/>
    <w:rsid w:val="00020F1C"/>
    <w:rsid w:val="000224CA"/>
    <w:rsid w:val="000341DB"/>
    <w:rsid w:val="0003634D"/>
    <w:rsid w:val="00036541"/>
    <w:rsid w:val="0003674D"/>
    <w:rsid w:val="0005580C"/>
    <w:rsid w:val="00055A17"/>
    <w:rsid w:val="0005709C"/>
    <w:rsid w:val="00057F9F"/>
    <w:rsid w:val="0006749F"/>
    <w:rsid w:val="00072225"/>
    <w:rsid w:val="00072B77"/>
    <w:rsid w:val="000772AE"/>
    <w:rsid w:val="00077C0D"/>
    <w:rsid w:val="00081577"/>
    <w:rsid w:val="00082256"/>
    <w:rsid w:val="000842D7"/>
    <w:rsid w:val="000845D8"/>
    <w:rsid w:val="00086323"/>
    <w:rsid w:val="00086A92"/>
    <w:rsid w:val="00087480"/>
    <w:rsid w:val="0009679D"/>
    <w:rsid w:val="00096DD2"/>
    <w:rsid w:val="000B535F"/>
    <w:rsid w:val="000C041C"/>
    <w:rsid w:val="000C0F3E"/>
    <w:rsid w:val="000C1DFB"/>
    <w:rsid w:val="000C2ED5"/>
    <w:rsid w:val="000C39D8"/>
    <w:rsid w:val="000D0E81"/>
    <w:rsid w:val="000D5A37"/>
    <w:rsid w:val="000E1EE4"/>
    <w:rsid w:val="000E4D48"/>
    <w:rsid w:val="000E4FFF"/>
    <w:rsid w:val="000E5B36"/>
    <w:rsid w:val="000F0EF8"/>
    <w:rsid w:val="000F16C7"/>
    <w:rsid w:val="000F201B"/>
    <w:rsid w:val="000F653F"/>
    <w:rsid w:val="000F7E81"/>
    <w:rsid w:val="00102497"/>
    <w:rsid w:val="00102DC1"/>
    <w:rsid w:val="001042CC"/>
    <w:rsid w:val="001118C1"/>
    <w:rsid w:val="00111DDA"/>
    <w:rsid w:val="00114F6F"/>
    <w:rsid w:val="00115038"/>
    <w:rsid w:val="00121DAA"/>
    <w:rsid w:val="00130744"/>
    <w:rsid w:val="0013183D"/>
    <w:rsid w:val="00132581"/>
    <w:rsid w:val="001332C8"/>
    <w:rsid w:val="0013483C"/>
    <w:rsid w:val="00142FAF"/>
    <w:rsid w:val="001467C6"/>
    <w:rsid w:val="00153A80"/>
    <w:rsid w:val="00156C69"/>
    <w:rsid w:val="0016162F"/>
    <w:rsid w:val="00162035"/>
    <w:rsid w:val="00164020"/>
    <w:rsid w:val="00166C63"/>
    <w:rsid w:val="00172CAD"/>
    <w:rsid w:val="00172F1B"/>
    <w:rsid w:val="00173575"/>
    <w:rsid w:val="0017669E"/>
    <w:rsid w:val="00177AD6"/>
    <w:rsid w:val="001801E9"/>
    <w:rsid w:val="00183D19"/>
    <w:rsid w:val="00190845"/>
    <w:rsid w:val="00190C4C"/>
    <w:rsid w:val="00193F4D"/>
    <w:rsid w:val="0019514E"/>
    <w:rsid w:val="001969CC"/>
    <w:rsid w:val="001A0A47"/>
    <w:rsid w:val="001A0C1F"/>
    <w:rsid w:val="001A0CA9"/>
    <w:rsid w:val="001A0CAB"/>
    <w:rsid w:val="001A12ED"/>
    <w:rsid w:val="001A2454"/>
    <w:rsid w:val="001A30B9"/>
    <w:rsid w:val="001A368C"/>
    <w:rsid w:val="001A4222"/>
    <w:rsid w:val="001A4281"/>
    <w:rsid w:val="001C1DF0"/>
    <w:rsid w:val="001D1E17"/>
    <w:rsid w:val="001D686C"/>
    <w:rsid w:val="001E2190"/>
    <w:rsid w:val="001E4924"/>
    <w:rsid w:val="002002B4"/>
    <w:rsid w:val="00202283"/>
    <w:rsid w:val="00204E36"/>
    <w:rsid w:val="00204FC7"/>
    <w:rsid w:val="002106C6"/>
    <w:rsid w:val="00212E14"/>
    <w:rsid w:val="002207E0"/>
    <w:rsid w:val="002336D1"/>
    <w:rsid w:val="00233BBD"/>
    <w:rsid w:val="0023404F"/>
    <w:rsid w:val="002406C8"/>
    <w:rsid w:val="00241028"/>
    <w:rsid w:val="002413FD"/>
    <w:rsid w:val="00241400"/>
    <w:rsid w:val="00242D77"/>
    <w:rsid w:val="00245A84"/>
    <w:rsid w:val="00257636"/>
    <w:rsid w:val="00261A73"/>
    <w:rsid w:val="0027089E"/>
    <w:rsid w:val="0027211F"/>
    <w:rsid w:val="00272770"/>
    <w:rsid w:val="002740E1"/>
    <w:rsid w:val="0027712C"/>
    <w:rsid w:val="00277D7F"/>
    <w:rsid w:val="002A1AA7"/>
    <w:rsid w:val="002B3556"/>
    <w:rsid w:val="002B363C"/>
    <w:rsid w:val="002B3870"/>
    <w:rsid w:val="002B6401"/>
    <w:rsid w:val="002C4893"/>
    <w:rsid w:val="002D379A"/>
    <w:rsid w:val="002D5ADF"/>
    <w:rsid w:val="002E1245"/>
    <w:rsid w:val="002F0BF7"/>
    <w:rsid w:val="002F1198"/>
    <w:rsid w:val="002F4234"/>
    <w:rsid w:val="002F4BDA"/>
    <w:rsid w:val="002F59E8"/>
    <w:rsid w:val="00302C83"/>
    <w:rsid w:val="003040D8"/>
    <w:rsid w:val="003127C9"/>
    <w:rsid w:val="003174AF"/>
    <w:rsid w:val="0034168E"/>
    <w:rsid w:val="0034309E"/>
    <w:rsid w:val="00346B7E"/>
    <w:rsid w:val="00351B3F"/>
    <w:rsid w:val="003531ED"/>
    <w:rsid w:val="003557F8"/>
    <w:rsid w:val="003558B9"/>
    <w:rsid w:val="00362BAF"/>
    <w:rsid w:val="00366CFB"/>
    <w:rsid w:val="003809CD"/>
    <w:rsid w:val="003811A8"/>
    <w:rsid w:val="003815E5"/>
    <w:rsid w:val="0038295B"/>
    <w:rsid w:val="0038323F"/>
    <w:rsid w:val="00387C11"/>
    <w:rsid w:val="003900D9"/>
    <w:rsid w:val="003920F4"/>
    <w:rsid w:val="00392643"/>
    <w:rsid w:val="003A086E"/>
    <w:rsid w:val="003A1197"/>
    <w:rsid w:val="003A2DD2"/>
    <w:rsid w:val="003A3388"/>
    <w:rsid w:val="003A3CED"/>
    <w:rsid w:val="003B0519"/>
    <w:rsid w:val="003B22DA"/>
    <w:rsid w:val="003B29E8"/>
    <w:rsid w:val="003D0B20"/>
    <w:rsid w:val="003D21BC"/>
    <w:rsid w:val="003D7C7F"/>
    <w:rsid w:val="003D7CBF"/>
    <w:rsid w:val="003E00A9"/>
    <w:rsid w:val="003F5C03"/>
    <w:rsid w:val="00400CED"/>
    <w:rsid w:val="004031B3"/>
    <w:rsid w:val="00404903"/>
    <w:rsid w:val="00407F37"/>
    <w:rsid w:val="004125C8"/>
    <w:rsid w:val="00414A8F"/>
    <w:rsid w:val="00423DC3"/>
    <w:rsid w:val="00424A09"/>
    <w:rsid w:val="0042791B"/>
    <w:rsid w:val="0043137C"/>
    <w:rsid w:val="00432142"/>
    <w:rsid w:val="004369AD"/>
    <w:rsid w:val="00442D1E"/>
    <w:rsid w:val="00444BFD"/>
    <w:rsid w:val="004464A9"/>
    <w:rsid w:val="004568A5"/>
    <w:rsid w:val="004576E4"/>
    <w:rsid w:val="00461F67"/>
    <w:rsid w:val="00464F4B"/>
    <w:rsid w:val="00473F10"/>
    <w:rsid w:val="00477AEB"/>
    <w:rsid w:val="00480A2C"/>
    <w:rsid w:val="00481A6E"/>
    <w:rsid w:val="004845FF"/>
    <w:rsid w:val="00493BF7"/>
    <w:rsid w:val="004B3F1A"/>
    <w:rsid w:val="004B6A76"/>
    <w:rsid w:val="004B7A14"/>
    <w:rsid w:val="004C4254"/>
    <w:rsid w:val="004D34E3"/>
    <w:rsid w:val="004D4160"/>
    <w:rsid w:val="004E511C"/>
    <w:rsid w:val="004F0CEA"/>
    <w:rsid w:val="004F2346"/>
    <w:rsid w:val="004F79A3"/>
    <w:rsid w:val="005041A3"/>
    <w:rsid w:val="00507581"/>
    <w:rsid w:val="00512D95"/>
    <w:rsid w:val="0051363C"/>
    <w:rsid w:val="0051447B"/>
    <w:rsid w:val="005146C1"/>
    <w:rsid w:val="00514BC3"/>
    <w:rsid w:val="00515865"/>
    <w:rsid w:val="005249B8"/>
    <w:rsid w:val="00527185"/>
    <w:rsid w:val="00536C35"/>
    <w:rsid w:val="00544DC9"/>
    <w:rsid w:val="00545C46"/>
    <w:rsid w:val="00552583"/>
    <w:rsid w:val="0056154D"/>
    <w:rsid w:val="00564DBF"/>
    <w:rsid w:val="00570EC2"/>
    <w:rsid w:val="005815F9"/>
    <w:rsid w:val="0058546C"/>
    <w:rsid w:val="005878D2"/>
    <w:rsid w:val="005906DB"/>
    <w:rsid w:val="00595770"/>
    <w:rsid w:val="00595914"/>
    <w:rsid w:val="00595AB3"/>
    <w:rsid w:val="005A271A"/>
    <w:rsid w:val="005B4B6C"/>
    <w:rsid w:val="005C3553"/>
    <w:rsid w:val="005C6995"/>
    <w:rsid w:val="005C72D8"/>
    <w:rsid w:val="005C7599"/>
    <w:rsid w:val="005D1307"/>
    <w:rsid w:val="005D66AB"/>
    <w:rsid w:val="005D7950"/>
    <w:rsid w:val="005E0422"/>
    <w:rsid w:val="005E2B9F"/>
    <w:rsid w:val="005F2393"/>
    <w:rsid w:val="005F3384"/>
    <w:rsid w:val="005F35F5"/>
    <w:rsid w:val="005F45DA"/>
    <w:rsid w:val="005F5AC7"/>
    <w:rsid w:val="005F693F"/>
    <w:rsid w:val="00600D2E"/>
    <w:rsid w:val="0060502E"/>
    <w:rsid w:val="00623CDD"/>
    <w:rsid w:val="006270FD"/>
    <w:rsid w:val="00630653"/>
    <w:rsid w:val="00636402"/>
    <w:rsid w:val="00651323"/>
    <w:rsid w:val="00652651"/>
    <w:rsid w:val="006549F3"/>
    <w:rsid w:val="00657017"/>
    <w:rsid w:val="00661202"/>
    <w:rsid w:val="006618B4"/>
    <w:rsid w:val="00663838"/>
    <w:rsid w:val="00665757"/>
    <w:rsid w:val="00670554"/>
    <w:rsid w:val="006707E3"/>
    <w:rsid w:val="0067412A"/>
    <w:rsid w:val="00680FF9"/>
    <w:rsid w:val="00682980"/>
    <w:rsid w:val="0068586C"/>
    <w:rsid w:val="00694EB1"/>
    <w:rsid w:val="006A3D02"/>
    <w:rsid w:val="006A45A1"/>
    <w:rsid w:val="006A5667"/>
    <w:rsid w:val="006B0FBD"/>
    <w:rsid w:val="006B2BEB"/>
    <w:rsid w:val="006B4F8B"/>
    <w:rsid w:val="006B5185"/>
    <w:rsid w:val="006B5593"/>
    <w:rsid w:val="006B57A3"/>
    <w:rsid w:val="006C0FD5"/>
    <w:rsid w:val="006C1EC0"/>
    <w:rsid w:val="006C29D9"/>
    <w:rsid w:val="006C507A"/>
    <w:rsid w:val="006D56F3"/>
    <w:rsid w:val="006D5D7C"/>
    <w:rsid w:val="006E1309"/>
    <w:rsid w:val="006F029B"/>
    <w:rsid w:val="006F09FB"/>
    <w:rsid w:val="006F2705"/>
    <w:rsid w:val="006F5A20"/>
    <w:rsid w:val="00700B9C"/>
    <w:rsid w:val="00701E74"/>
    <w:rsid w:val="00702A7F"/>
    <w:rsid w:val="00705609"/>
    <w:rsid w:val="00705D85"/>
    <w:rsid w:val="00705F56"/>
    <w:rsid w:val="00706AE9"/>
    <w:rsid w:val="007079E2"/>
    <w:rsid w:val="007118CB"/>
    <w:rsid w:val="00711D0C"/>
    <w:rsid w:val="00711E96"/>
    <w:rsid w:val="00713B25"/>
    <w:rsid w:val="00731F5D"/>
    <w:rsid w:val="00734E9F"/>
    <w:rsid w:val="007367ED"/>
    <w:rsid w:val="007412E3"/>
    <w:rsid w:val="007428E6"/>
    <w:rsid w:val="0074352B"/>
    <w:rsid w:val="00747722"/>
    <w:rsid w:val="0075394B"/>
    <w:rsid w:val="00760A6F"/>
    <w:rsid w:val="0077378D"/>
    <w:rsid w:val="00773960"/>
    <w:rsid w:val="007757E0"/>
    <w:rsid w:val="007764CC"/>
    <w:rsid w:val="00780038"/>
    <w:rsid w:val="0078034B"/>
    <w:rsid w:val="00784341"/>
    <w:rsid w:val="00784489"/>
    <w:rsid w:val="007855DD"/>
    <w:rsid w:val="00785F0D"/>
    <w:rsid w:val="00786F74"/>
    <w:rsid w:val="0078729A"/>
    <w:rsid w:val="007942AB"/>
    <w:rsid w:val="007B72AA"/>
    <w:rsid w:val="007C4FEB"/>
    <w:rsid w:val="007C7D03"/>
    <w:rsid w:val="007D76FB"/>
    <w:rsid w:val="007E17C2"/>
    <w:rsid w:val="007E3083"/>
    <w:rsid w:val="007E3E2B"/>
    <w:rsid w:val="007E764A"/>
    <w:rsid w:val="007F29C2"/>
    <w:rsid w:val="007F382D"/>
    <w:rsid w:val="00801A56"/>
    <w:rsid w:val="0080290D"/>
    <w:rsid w:val="0080346C"/>
    <w:rsid w:val="00806586"/>
    <w:rsid w:val="0080788E"/>
    <w:rsid w:val="008127C1"/>
    <w:rsid w:val="00821DBD"/>
    <w:rsid w:val="00822FDD"/>
    <w:rsid w:val="0082309B"/>
    <w:rsid w:val="00826963"/>
    <w:rsid w:val="0083040C"/>
    <w:rsid w:val="0083263E"/>
    <w:rsid w:val="008428CA"/>
    <w:rsid w:val="00845436"/>
    <w:rsid w:val="00845BAC"/>
    <w:rsid w:val="0085127C"/>
    <w:rsid w:val="008631AB"/>
    <w:rsid w:val="008635D5"/>
    <w:rsid w:val="00863835"/>
    <w:rsid w:val="008641F0"/>
    <w:rsid w:val="0086739A"/>
    <w:rsid w:val="00867437"/>
    <w:rsid w:val="008718B2"/>
    <w:rsid w:val="00876F7B"/>
    <w:rsid w:val="008778E9"/>
    <w:rsid w:val="00881DE6"/>
    <w:rsid w:val="00885DD2"/>
    <w:rsid w:val="0089141F"/>
    <w:rsid w:val="008915FA"/>
    <w:rsid w:val="008919E2"/>
    <w:rsid w:val="008A1706"/>
    <w:rsid w:val="008A5883"/>
    <w:rsid w:val="008B1579"/>
    <w:rsid w:val="008C67C4"/>
    <w:rsid w:val="008C75AB"/>
    <w:rsid w:val="008D04DF"/>
    <w:rsid w:val="008D2B74"/>
    <w:rsid w:val="008D5767"/>
    <w:rsid w:val="008E029C"/>
    <w:rsid w:val="008E090A"/>
    <w:rsid w:val="008E621E"/>
    <w:rsid w:val="008E77E4"/>
    <w:rsid w:val="008F05FB"/>
    <w:rsid w:val="008F2D27"/>
    <w:rsid w:val="008F55EC"/>
    <w:rsid w:val="0090661C"/>
    <w:rsid w:val="00907840"/>
    <w:rsid w:val="0091043E"/>
    <w:rsid w:val="00910AD0"/>
    <w:rsid w:val="0091204C"/>
    <w:rsid w:val="0091310D"/>
    <w:rsid w:val="0091605C"/>
    <w:rsid w:val="00916FE7"/>
    <w:rsid w:val="00921490"/>
    <w:rsid w:val="0092222F"/>
    <w:rsid w:val="00922FED"/>
    <w:rsid w:val="009239E4"/>
    <w:rsid w:val="00925337"/>
    <w:rsid w:val="00926EBC"/>
    <w:rsid w:val="00932F3C"/>
    <w:rsid w:val="00933BB9"/>
    <w:rsid w:val="00935669"/>
    <w:rsid w:val="009357E2"/>
    <w:rsid w:val="00935E3D"/>
    <w:rsid w:val="00936343"/>
    <w:rsid w:val="0094001A"/>
    <w:rsid w:val="00944C60"/>
    <w:rsid w:val="00945571"/>
    <w:rsid w:val="00951871"/>
    <w:rsid w:val="00954BFB"/>
    <w:rsid w:val="009603F2"/>
    <w:rsid w:val="00961BA2"/>
    <w:rsid w:val="00961C34"/>
    <w:rsid w:val="009650FF"/>
    <w:rsid w:val="0096567E"/>
    <w:rsid w:val="00965EDC"/>
    <w:rsid w:val="009673B7"/>
    <w:rsid w:val="00967ED7"/>
    <w:rsid w:val="00972260"/>
    <w:rsid w:val="00974270"/>
    <w:rsid w:val="00981F60"/>
    <w:rsid w:val="00984814"/>
    <w:rsid w:val="009849CC"/>
    <w:rsid w:val="00993BDF"/>
    <w:rsid w:val="00993F7B"/>
    <w:rsid w:val="00995004"/>
    <w:rsid w:val="009A10FB"/>
    <w:rsid w:val="009B24AB"/>
    <w:rsid w:val="009B3BDB"/>
    <w:rsid w:val="009B5BEA"/>
    <w:rsid w:val="009B6ED7"/>
    <w:rsid w:val="009C0210"/>
    <w:rsid w:val="009D0542"/>
    <w:rsid w:val="009D4CB2"/>
    <w:rsid w:val="009D6DBC"/>
    <w:rsid w:val="009E23B7"/>
    <w:rsid w:val="009E3943"/>
    <w:rsid w:val="009E57C8"/>
    <w:rsid w:val="009E71D8"/>
    <w:rsid w:val="009F6A77"/>
    <w:rsid w:val="00A142FB"/>
    <w:rsid w:val="00A15DB0"/>
    <w:rsid w:val="00A2056E"/>
    <w:rsid w:val="00A26EF7"/>
    <w:rsid w:val="00A27E4F"/>
    <w:rsid w:val="00A310D2"/>
    <w:rsid w:val="00A32378"/>
    <w:rsid w:val="00A36C62"/>
    <w:rsid w:val="00A42000"/>
    <w:rsid w:val="00A43AC5"/>
    <w:rsid w:val="00A4417F"/>
    <w:rsid w:val="00A442B3"/>
    <w:rsid w:val="00A44F3A"/>
    <w:rsid w:val="00A46F40"/>
    <w:rsid w:val="00A568AA"/>
    <w:rsid w:val="00A61903"/>
    <w:rsid w:val="00A637C8"/>
    <w:rsid w:val="00A63E2F"/>
    <w:rsid w:val="00A64A27"/>
    <w:rsid w:val="00A64D2F"/>
    <w:rsid w:val="00A655E0"/>
    <w:rsid w:val="00A75108"/>
    <w:rsid w:val="00A81C96"/>
    <w:rsid w:val="00A830F0"/>
    <w:rsid w:val="00A8719C"/>
    <w:rsid w:val="00A87964"/>
    <w:rsid w:val="00A923EC"/>
    <w:rsid w:val="00AA454C"/>
    <w:rsid w:val="00AA753C"/>
    <w:rsid w:val="00AB0E92"/>
    <w:rsid w:val="00AB2386"/>
    <w:rsid w:val="00AB3863"/>
    <w:rsid w:val="00AC0ADE"/>
    <w:rsid w:val="00AC380B"/>
    <w:rsid w:val="00AC3A61"/>
    <w:rsid w:val="00AC7D01"/>
    <w:rsid w:val="00AD0068"/>
    <w:rsid w:val="00AD18D9"/>
    <w:rsid w:val="00AD2580"/>
    <w:rsid w:val="00AD4FCE"/>
    <w:rsid w:val="00AE056E"/>
    <w:rsid w:val="00AE3CF9"/>
    <w:rsid w:val="00AE58A1"/>
    <w:rsid w:val="00AF2BEB"/>
    <w:rsid w:val="00AF5E93"/>
    <w:rsid w:val="00B10F04"/>
    <w:rsid w:val="00B142A5"/>
    <w:rsid w:val="00B317F7"/>
    <w:rsid w:val="00B36D0F"/>
    <w:rsid w:val="00B36D18"/>
    <w:rsid w:val="00B37E26"/>
    <w:rsid w:val="00B4276A"/>
    <w:rsid w:val="00B50BAE"/>
    <w:rsid w:val="00B520C5"/>
    <w:rsid w:val="00B53600"/>
    <w:rsid w:val="00B61B62"/>
    <w:rsid w:val="00B7364E"/>
    <w:rsid w:val="00B76273"/>
    <w:rsid w:val="00B825E2"/>
    <w:rsid w:val="00B84FFB"/>
    <w:rsid w:val="00B9736E"/>
    <w:rsid w:val="00BA4D51"/>
    <w:rsid w:val="00BB0A0D"/>
    <w:rsid w:val="00BB23AE"/>
    <w:rsid w:val="00BB567D"/>
    <w:rsid w:val="00BB5C45"/>
    <w:rsid w:val="00BB67E1"/>
    <w:rsid w:val="00BB7DAD"/>
    <w:rsid w:val="00BC628B"/>
    <w:rsid w:val="00BC66B7"/>
    <w:rsid w:val="00BD027E"/>
    <w:rsid w:val="00BD0672"/>
    <w:rsid w:val="00BD2929"/>
    <w:rsid w:val="00BD5429"/>
    <w:rsid w:val="00BD5B3F"/>
    <w:rsid w:val="00BE3C81"/>
    <w:rsid w:val="00BE475B"/>
    <w:rsid w:val="00BE6CE9"/>
    <w:rsid w:val="00BE7FE6"/>
    <w:rsid w:val="00BF250C"/>
    <w:rsid w:val="00BF40CE"/>
    <w:rsid w:val="00BF53D6"/>
    <w:rsid w:val="00BF6EB9"/>
    <w:rsid w:val="00C026CA"/>
    <w:rsid w:val="00C030ED"/>
    <w:rsid w:val="00C11E3A"/>
    <w:rsid w:val="00C14423"/>
    <w:rsid w:val="00C15E93"/>
    <w:rsid w:val="00C20836"/>
    <w:rsid w:val="00C2457C"/>
    <w:rsid w:val="00C25103"/>
    <w:rsid w:val="00C27A78"/>
    <w:rsid w:val="00C30378"/>
    <w:rsid w:val="00C31CFC"/>
    <w:rsid w:val="00C3272B"/>
    <w:rsid w:val="00C332CF"/>
    <w:rsid w:val="00C36B2A"/>
    <w:rsid w:val="00C5212B"/>
    <w:rsid w:val="00C53A4A"/>
    <w:rsid w:val="00C542EF"/>
    <w:rsid w:val="00C5648F"/>
    <w:rsid w:val="00C56664"/>
    <w:rsid w:val="00C61C2C"/>
    <w:rsid w:val="00C64961"/>
    <w:rsid w:val="00C7091E"/>
    <w:rsid w:val="00C72775"/>
    <w:rsid w:val="00C75D32"/>
    <w:rsid w:val="00C760FD"/>
    <w:rsid w:val="00C80D8D"/>
    <w:rsid w:val="00C842D3"/>
    <w:rsid w:val="00C844A5"/>
    <w:rsid w:val="00C86519"/>
    <w:rsid w:val="00C917B6"/>
    <w:rsid w:val="00CA071C"/>
    <w:rsid w:val="00CA28DF"/>
    <w:rsid w:val="00CA53ED"/>
    <w:rsid w:val="00CB16A5"/>
    <w:rsid w:val="00CB7264"/>
    <w:rsid w:val="00CB7337"/>
    <w:rsid w:val="00CC089D"/>
    <w:rsid w:val="00CC331F"/>
    <w:rsid w:val="00CC4C0D"/>
    <w:rsid w:val="00CC6155"/>
    <w:rsid w:val="00CD1573"/>
    <w:rsid w:val="00CD5C18"/>
    <w:rsid w:val="00CD7565"/>
    <w:rsid w:val="00CE07F2"/>
    <w:rsid w:val="00CE298C"/>
    <w:rsid w:val="00CE39A1"/>
    <w:rsid w:val="00CE46AB"/>
    <w:rsid w:val="00CE4CEB"/>
    <w:rsid w:val="00CE4ED7"/>
    <w:rsid w:val="00CE7140"/>
    <w:rsid w:val="00CF019B"/>
    <w:rsid w:val="00CF1E9D"/>
    <w:rsid w:val="00CF317E"/>
    <w:rsid w:val="00CF5FFB"/>
    <w:rsid w:val="00CF75C3"/>
    <w:rsid w:val="00D0103E"/>
    <w:rsid w:val="00D114DF"/>
    <w:rsid w:val="00D20054"/>
    <w:rsid w:val="00D216FE"/>
    <w:rsid w:val="00D261AB"/>
    <w:rsid w:val="00D30B46"/>
    <w:rsid w:val="00D330AE"/>
    <w:rsid w:val="00D338A5"/>
    <w:rsid w:val="00D369CC"/>
    <w:rsid w:val="00D406FE"/>
    <w:rsid w:val="00D41CB4"/>
    <w:rsid w:val="00D44175"/>
    <w:rsid w:val="00D46403"/>
    <w:rsid w:val="00D47023"/>
    <w:rsid w:val="00D4762A"/>
    <w:rsid w:val="00D53D7F"/>
    <w:rsid w:val="00D55D89"/>
    <w:rsid w:val="00D65538"/>
    <w:rsid w:val="00D6557E"/>
    <w:rsid w:val="00D72586"/>
    <w:rsid w:val="00D73091"/>
    <w:rsid w:val="00D744BF"/>
    <w:rsid w:val="00D7793C"/>
    <w:rsid w:val="00D80FBC"/>
    <w:rsid w:val="00D87C2D"/>
    <w:rsid w:val="00D90001"/>
    <w:rsid w:val="00D94F4F"/>
    <w:rsid w:val="00D97476"/>
    <w:rsid w:val="00DA42B0"/>
    <w:rsid w:val="00DB4A1A"/>
    <w:rsid w:val="00DB557E"/>
    <w:rsid w:val="00DB75BB"/>
    <w:rsid w:val="00DC0365"/>
    <w:rsid w:val="00DC2140"/>
    <w:rsid w:val="00DC3080"/>
    <w:rsid w:val="00DD09EF"/>
    <w:rsid w:val="00DD4F72"/>
    <w:rsid w:val="00DF118A"/>
    <w:rsid w:val="00DF15AE"/>
    <w:rsid w:val="00DF185C"/>
    <w:rsid w:val="00DF59A3"/>
    <w:rsid w:val="00E0166D"/>
    <w:rsid w:val="00E112C5"/>
    <w:rsid w:val="00E1441B"/>
    <w:rsid w:val="00E16D54"/>
    <w:rsid w:val="00E21F36"/>
    <w:rsid w:val="00E24BB7"/>
    <w:rsid w:val="00E30051"/>
    <w:rsid w:val="00E34E55"/>
    <w:rsid w:val="00E40F09"/>
    <w:rsid w:val="00E441FB"/>
    <w:rsid w:val="00E46521"/>
    <w:rsid w:val="00E50B5D"/>
    <w:rsid w:val="00E53D67"/>
    <w:rsid w:val="00E55278"/>
    <w:rsid w:val="00E56A00"/>
    <w:rsid w:val="00E56E4F"/>
    <w:rsid w:val="00E63773"/>
    <w:rsid w:val="00E65DBC"/>
    <w:rsid w:val="00E66BAA"/>
    <w:rsid w:val="00E67530"/>
    <w:rsid w:val="00E67BB8"/>
    <w:rsid w:val="00E70DE8"/>
    <w:rsid w:val="00E75745"/>
    <w:rsid w:val="00E76309"/>
    <w:rsid w:val="00E813A1"/>
    <w:rsid w:val="00E84977"/>
    <w:rsid w:val="00E92CB2"/>
    <w:rsid w:val="00E93097"/>
    <w:rsid w:val="00E934CE"/>
    <w:rsid w:val="00E936D5"/>
    <w:rsid w:val="00E96920"/>
    <w:rsid w:val="00E96D30"/>
    <w:rsid w:val="00E96D96"/>
    <w:rsid w:val="00EA04A2"/>
    <w:rsid w:val="00EA1F72"/>
    <w:rsid w:val="00EA4854"/>
    <w:rsid w:val="00EA61CD"/>
    <w:rsid w:val="00EA75D3"/>
    <w:rsid w:val="00EA7A0E"/>
    <w:rsid w:val="00EB1293"/>
    <w:rsid w:val="00EB202D"/>
    <w:rsid w:val="00EB6714"/>
    <w:rsid w:val="00EC05D4"/>
    <w:rsid w:val="00EC57AA"/>
    <w:rsid w:val="00ED1F25"/>
    <w:rsid w:val="00ED343C"/>
    <w:rsid w:val="00ED418B"/>
    <w:rsid w:val="00ED6EFA"/>
    <w:rsid w:val="00EE1AF9"/>
    <w:rsid w:val="00EE5C83"/>
    <w:rsid w:val="00EE6FF7"/>
    <w:rsid w:val="00EF08FF"/>
    <w:rsid w:val="00EF2B42"/>
    <w:rsid w:val="00EF5504"/>
    <w:rsid w:val="00F04B43"/>
    <w:rsid w:val="00F10603"/>
    <w:rsid w:val="00F120DE"/>
    <w:rsid w:val="00F140D3"/>
    <w:rsid w:val="00F15728"/>
    <w:rsid w:val="00F2423B"/>
    <w:rsid w:val="00F24A9D"/>
    <w:rsid w:val="00F26A2C"/>
    <w:rsid w:val="00F30C73"/>
    <w:rsid w:val="00F341AD"/>
    <w:rsid w:val="00F346FC"/>
    <w:rsid w:val="00F34856"/>
    <w:rsid w:val="00F356E9"/>
    <w:rsid w:val="00F371BF"/>
    <w:rsid w:val="00F4068E"/>
    <w:rsid w:val="00F436EE"/>
    <w:rsid w:val="00F43D2C"/>
    <w:rsid w:val="00F47C33"/>
    <w:rsid w:val="00F525C8"/>
    <w:rsid w:val="00F63A9D"/>
    <w:rsid w:val="00F727F3"/>
    <w:rsid w:val="00F76FA8"/>
    <w:rsid w:val="00F80E15"/>
    <w:rsid w:val="00F82F7B"/>
    <w:rsid w:val="00F91D2B"/>
    <w:rsid w:val="00F9492B"/>
    <w:rsid w:val="00FA1946"/>
    <w:rsid w:val="00FA7AA3"/>
    <w:rsid w:val="00FB0144"/>
    <w:rsid w:val="00FB21A6"/>
    <w:rsid w:val="00FC005C"/>
    <w:rsid w:val="00FC2AF3"/>
    <w:rsid w:val="00FC4CFB"/>
    <w:rsid w:val="00FD48A3"/>
    <w:rsid w:val="00FE2196"/>
    <w:rsid w:val="00FE3864"/>
    <w:rsid w:val="00FE7C86"/>
    <w:rsid w:val="00FF2BD8"/>
    <w:rsid w:val="00FF4B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0895-A780-4828-B728-39163F44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B77"/>
    <w:rPr>
      <w:sz w:val="20"/>
      <w:szCs w:val="20"/>
    </w:rPr>
  </w:style>
  <w:style w:type="character" w:styleId="FootnoteReference">
    <w:name w:val="footnote reference"/>
    <w:basedOn w:val="DefaultParagraphFont"/>
    <w:uiPriority w:val="99"/>
    <w:semiHidden/>
    <w:unhideWhenUsed/>
    <w:rsid w:val="00072B77"/>
    <w:rPr>
      <w:vertAlign w:val="superscript"/>
    </w:rPr>
  </w:style>
  <w:style w:type="paragraph" w:styleId="BalloonText">
    <w:name w:val="Balloon Text"/>
    <w:basedOn w:val="Normal"/>
    <w:link w:val="BalloonTextChar"/>
    <w:uiPriority w:val="99"/>
    <w:semiHidden/>
    <w:unhideWhenUsed/>
    <w:rsid w:val="0007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77"/>
    <w:rPr>
      <w:rFonts w:ascii="Tahoma" w:hAnsi="Tahoma" w:cs="Tahoma"/>
      <w:sz w:val="16"/>
      <w:szCs w:val="16"/>
    </w:rPr>
  </w:style>
  <w:style w:type="paragraph" w:styleId="ListParagraph">
    <w:name w:val="List Paragraph"/>
    <w:basedOn w:val="Normal"/>
    <w:uiPriority w:val="34"/>
    <w:qFormat/>
    <w:rsid w:val="006D5D7C"/>
    <w:pPr>
      <w:ind w:left="720"/>
      <w:contextualSpacing/>
    </w:pPr>
  </w:style>
  <w:style w:type="table" w:styleId="TableGrid">
    <w:name w:val="Table Grid"/>
    <w:basedOn w:val="TableNormal"/>
    <w:uiPriority w:val="59"/>
    <w:rsid w:val="0005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323"/>
    <w:rPr>
      <w:color w:val="0000FF" w:themeColor="hyperlink"/>
      <w:u w:val="single"/>
    </w:rPr>
  </w:style>
  <w:style w:type="paragraph" w:styleId="Header">
    <w:name w:val="header"/>
    <w:basedOn w:val="Normal"/>
    <w:link w:val="HeaderChar"/>
    <w:uiPriority w:val="99"/>
    <w:unhideWhenUsed/>
    <w:rsid w:val="00204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FC7"/>
  </w:style>
  <w:style w:type="paragraph" w:styleId="Footer">
    <w:name w:val="footer"/>
    <w:basedOn w:val="Normal"/>
    <w:link w:val="FooterChar"/>
    <w:uiPriority w:val="99"/>
    <w:unhideWhenUsed/>
    <w:rsid w:val="00204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FC7"/>
  </w:style>
  <w:style w:type="paragraph" w:styleId="CommentText">
    <w:name w:val="annotation text"/>
    <w:basedOn w:val="Normal"/>
    <w:link w:val="CommentTextChar"/>
    <w:uiPriority w:val="99"/>
    <w:semiHidden/>
    <w:unhideWhenUsed/>
    <w:rsid w:val="004845FF"/>
    <w:pPr>
      <w:spacing w:line="240" w:lineRule="auto"/>
    </w:pPr>
    <w:rPr>
      <w:sz w:val="20"/>
      <w:szCs w:val="20"/>
    </w:rPr>
  </w:style>
  <w:style w:type="character" w:customStyle="1" w:styleId="CommentTextChar">
    <w:name w:val="Comment Text Char"/>
    <w:basedOn w:val="DefaultParagraphFont"/>
    <w:link w:val="CommentText"/>
    <w:uiPriority w:val="99"/>
    <w:semiHidden/>
    <w:rsid w:val="004845FF"/>
    <w:rPr>
      <w:sz w:val="20"/>
      <w:szCs w:val="20"/>
    </w:rPr>
  </w:style>
  <w:style w:type="character" w:styleId="CommentReference">
    <w:name w:val="annotation reference"/>
    <w:basedOn w:val="DefaultParagraphFont"/>
    <w:uiPriority w:val="99"/>
    <w:semiHidden/>
    <w:unhideWhenUsed/>
    <w:rsid w:val="00CE46AB"/>
    <w:rPr>
      <w:sz w:val="16"/>
      <w:szCs w:val="16"/>
    </w:rPr>
  </w:style>
  <w:style w:type="paragraph" w:styleId="CommentSubject">
    <w:name w:val="annotation subject"/>
    <w:basedOn w:val="CommentText"/>
    <w:next w:val="CommentText"/>
    <w:link w:val="CommentSubjectChar"/>
    <w:uiPriority w:val="99"/>
    <w:semiHidden/>
    <w:unhideWhenUsed/>
    <w:rsid w:val="00CE46AB"/>
    <w:rPr>
      <w:b/>
      <w:bCs/>
    </w:rPr>
  </w:style>
  <w:style w:type="character" w:customStyle="1" w:styleId="CommentSubjectChar">
    <w:name w:val="Comment Subject Char"/>
    <w:basedOn w:val="CommentTextChar"/>
    <w:link w:val="CommentSubject"/>
    <w:uiPriority w:val="99"/>
    <w:semiHidden/>
    <w:rsid w:val="00CE46AB"/>
    <w:rPr>
      <w:b/>
      <w:bCs/>
      <w:sz w:val="20"/>
      <w:szCs w:val="20"/>
    </w:rPr>
  </w:style>
  <w:style w:type="paragraph" w:styleId="Title">
    <w:name w:val="Title"/>
    <w:aliases w:val="Inngangur"/>
    <w:basedOn w:val="Normal"/>
    <w:next w:val="Normal"/>
    <w:link w:val="TitleChar"/>
    <w:uiPriority w:val="10"/>
    <w:qFormat/>
    <w:rsid w:val="00C30378"/>
    <w:pPr>
      <w:spacing w:after="300" w:line="240" w:lineRule="auto"/>
      <w:contextualSpacing/>
    </w:pPr>
    <w:rPr>
      <w:rFonts w:ascii="Arial" w:eastAsiaTheme="majorEastAsia" w:hAnsi="Arial" w:cstheme="majorBidi"/>
      <w:spacing w:val="5"/>
      <w:kern w:val="28"/>
      <w:sz w:val="24"/>
      <w:szCs w:val="52"/>
    </w:rPr>
  </w:style>
  <w:style w:type="character" w:customStyle="1" w:styleId="TitleChar">
    <w:name w:val="Title Char"/>
    <w:aliases w:val="Inngangur Char"/>
    <w:basedOn w:val="DefaultParagraphFont"/>
    <w:link w:val="Title"/>
    <w:uiPriority w:val="10"/>
    <w:rsid w:val="00C30378"/>
    <w:rPr>
      <w:rFonts w:ascii="Arial" w:eastAsiaTheme="majorEastAsia" w:hAnsi="Arial" w:cstheme="majorBidi"/>
      <w:spacing w:val="5"/>
      <w:kern w:val="28"/>
      <w:sz w:val="24"/>
      <w:szCs w:val="52"/>
    </w:rPr>
  </w:style>
  <w:style w:type="paragraph" w:styleId="PlainText">
    <w:name w:val="Plain Text"/>
    <w:basedOn w:val="Normal"/>
    <w:link w:val="PlainTextChar"/>
    <w:uiPriority w:val="99"/>
    <w:semiHidden/>
    <w:unhideWhenUsed/>
    <w:rsid w:val="00C30378"/>
    <w:pPr>
      <w:spacing w:after="0" w:line="240" w:lineRule="auto"/>
    </w:pPr>
    <w:rPr>
      <w:rFonts w:ascii="Arial" w:eastAsia="Times New Roman" w:hAnsi="Arial" w:cs="Times New Roman"/>
      <w:sz w:val="24"/>
      <w:szCs w:val="21"/>
      <w:lang w:eastAsia="is-IS"/>
    </w:rPr>
  </w:style>
  <w:style w:type="character" w:customStyle="1" w:styleId="PlainTextChar">
    <w:name w:val="Plain Text Char"/>
    <w:basedOn w:val="DefaultParagraphFont"/>
    <w:link w:val="PlainText"/>
    <w:uiPriority w:val="99"/>
    <w:semiHidden/>
    <w:rsid w:val="00C30378"/>
    <w:rPr>
      <w:rFonts w:ascii="Arial" w:eastAsia="Times New Roman" w:hAnsi="Arial" w:cs="Times New Roman"/>
      <w:sz w:val="24"/>
      <w:szCs w:val="21"/>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3007">
      <w:bodyDiv w:val="1"/>
      <w:marLeft w:val="0"/>
      <w:marRight w:val="0"/>
      <w:marTop w:val="0"/>
      <w:marBottom w:val="0"/>
      <w:divBdr>
        <w:top w:val="none" w:sz="0" w:space="0" w:color="auto"/>
        <w:left w:val="none" w:sz="0" w:space="0" w:color="auto"/>
        <w:bottom w:val="none" w:sz="0" w:space="0" w:color="auto"/>
        <w:right w:val="none" w:sz="0" w:space="0" w:color="auto"/>
      </w:divBdr>
    </w:div>
    <w:div w:id="487938430">
      <w:bodyDiv w:val="1"/>
      <w:marLeft w:val="0"/>
      <w:marRight w:val="0"/>
      <w:marTop w:val="0"/>
      <w:marBottom w:val="0"/>
      <w:divBdr>
        <w:top w:val="none" w:sz="0" w:space="0" w:color="auto"/>
        <w:left w:val="none" w:sz="0" w:space="0" w:color="auto"/>
        <w:bottom w:val="none" w:sz="0" w:space="0" w:color="auto"/>
        <w:right w:val="none" w:sz="0" w:space="0" w:color="auto"/>
      </w:divBdr>
    </w:div>
    <w:div w:id="532226684">
      <w:bodyDiv w:val="1"/>
      <w:marLeft w:val="0"/>
      <w:marRight w:val="0"/>
      <w:marTop w:val="0"/>
      <w:marBottom w:val="0"/>
      <w:divBdr>
        <w:top w:val="none" w:sz="0" w:space="0" w:color="auto"/>
        <w:left w:val="none" w:sz="0" w:space="0" w:color="auto"/>
        <w:bottom w:val="none" w:sz="0" w:space="0" w:color="auto"/>
        <w:right w:val="none" w:sz="0" w:space="0" w:color="auto"/>
      </w:divBdr>
    </w:div>
    <w:div w:id="880167685">
      <w:bodyDiv w:val="1"/>
      <w:marLeft w:val="0"/>
      <w:marRight w:val="0"/>
      <w:marTop w:val="0"/>
      <w:marBottom w:val="0"/>
      <w:divBdr>
        <w:top w:val="none" w:sz="0" w:space="0" w:color="auto"/>
        <w:left w:val="none" w:sz="0" w:space="0" w:color="auto"/>
        <w:bottom w:val="none" w:sz="0" w:space="0" w:color="auto"/>
        <w:right w:val="none" w:sz="0" w:space="0" w:color="auto"/>
      </w:divBdr>
    </w:div>
    <w:div w:id="920260359">
      <w:bodyDiv w:val="1"/>
      <w:marLeft w:val="0"/>
      <w:marRight w:val="0"/>
      <w:marTop w:val="0"/>
      <w:marBottom w:val="0"/>
      <w:divBdr>
        <w:top w:val="none" w:sz="0" w:space="0" w:color="auto"/>
        <w:left w:val="none" w:sz="0" w:space="0" w:color="auto"/>
        <w:bottom w:val="none" w:sz="0" w:space="0" w:color="auto"/>
        <w:right w:val="none" w:sz="0" w:space="0" w:color="auto"/>
      </w:divBdr>
    </w:div>
    <w:div w:id="923148884">
      <w:bodyDiv w:val="1"/>
      <w:marLeft w:val="0"/>
      <w:marRight w:val="0"/>
      <w:marTop w:val="0"/>
      <w:marBottom w:val="0"/>
      <w:divBdr>
        <w:top w:val="none" w:sz="0" w:space="0" w:color="auto"/>
        <w:left w:val="none" w:sz="0" w:space="0" w:color="auto"/>
        <w:bottom w:val="none" w:sz="0" w:space="0" w:color="auto"/>
        <w:right w:val="none" w:sz="0" w:space="0" w:color="auto"/>
      </w:divBdr>
    </w:div>
    <w:div w:id="1136990837">
      <w:bodyDiv w:val="1"/>
      <w:marLeft w:val="0"/>
      <w:marRight w:val="0"/>
      <w:marTop w:val="0"/>
      <w:marBottom w:val="0"/>
      <w:divBdr>
        <w:top w:val="none" w:sz="0" w:space="0" w:color="auto"/>
        <w:left w:val="none" w:sz="0" w:space="0" w:color="auto"/>
        <w:bottom w:val="none" w:sz="0" w:space="0" w:color="auto"/>
        <w:right w:val="none" w:sz="0" w:space="0" w:color="auto"/>
      </w:divBdr>
    </w:div>
    <w:div w:id="1991134854">
      <w:bodyDiv w:val="1"/>
      <w:marLeft w:val="0"/>
      <w:marRight w:val="0"/>
      <w:marTop w:val="0"/>
      <w:marBottom w:val="0"/>
      <w:divBdr>
        <w:top w:val="none" w:sz="0" w:space="0" w:color="auto"/>
        <w:left w:val="none" w:sz="0" w:space="0" w:color="auto"/>
        <w:bottom w:val="none" w:sz="0" w:space="0" w:color="auto"/>
        <w:right w:val="none" w:sz="0" w:space="0" w:color="auto"/>
      </w:divBdr>
    </w:div>
    <w:div w:id="2027249337">
      <w:bodyDiv w:val="1"/>
      <w:marLeft w:val="0"/>
      <w:marRight w:val="0"/>
      <w:marTop w:val="0"/>
      <w:marBottom w:val="0"/>
      <w:divBdr>
        <w:top w:val="none" w:sz="0" w:space="0" w:color="auto"/>
        <w:left w:val="none" w:sz="0" w:space="0" w:color="auto"/>
        <w:bottom w:val="none" w:sz="0" w:space="0" w:color="auto"/>
        <w:right w:val="none" w:sz="0" w:space="0" w:color="auto"/>
      </w:divBdr>
    </w:div>
    <w:div w:id="2078042229">
      <w:bodyDiv w:val="1"/>
      <w:marLeft w:val="0"/>
      <w:marRight w:val="0"/>
      <w:marTop w:val="0"/>
      <w:marBottom w:val="0"/>
      <w:divBdr>
        <w:top w:val="none" w:sz="0" w:space="0" w:color="auto"/>
        <w:left w:val="none" w:sz="0" w:space="0" w:color="auto"/>
        <w:bottom w:val="none" w:sz="0" w:space="0" w:color="auto"/>
        <w:right w:val="none" w:sz="0" w:space="0" w:color="auto"/>
      </w:divBdr>
    </w:div>
    <w:div w:id="21357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bsrb.is/library/Skrar-a-vef-ymsar/R%C3%BAnar%20Vilhj%C3%A1lmsson%20-%20Er%20einkarekstur%20%C3%AD%20heilbrig%C3%B0is%C3%BEj%C3%B3nustu%20almannahagur.pdf" TargetMode="External"/><Relationship Id="rId3" Type="http://schemas.openxmlformats.org/officeDocument/2006/relationships/hyperlink" Target="http://www.tr.is/media/fjarhaedir/Utreikningur-lifeyris-og-tengdra-bota-januar-2015_2.pdf" TargetMode="External"/><Relationship Id="rId7" Type="http://schemas.openxmlformats.org/officeDocument/2006/relationships/hyperlink" Target="http://kjarninn.is/frettir/2016-04-30-kari-afhendir-staerstu-undirskriftarsofnun-islandssogunnar/" TargetMode="External"/><Relationship Id="rId2" Type="http://schemas.openxmlformats.org/officeDocument/2006/relationships/hyperlink" Target="http://www.obi.is/static/files/skjol/ppt-glaerur/glaerur-gunnar-alexanders-olafssonar-vegna-greidsluthatttoku-obi-april-2016.pptx" TargetMode="External"/><Relationship Id="rId1" Type="http://schemas.openxmlformats.org/officeDocument/2006/relationships/hyperlink" Target="https://www.youtube.com/watch?v=c7ZP2yY4n_Q&amp;t=3196s" TargetMode="External"/><Relationship Id="rId6" Type="http://schemas.openxmlformats.org/officeDocument/2006/relationships/hyperlink" Target="http://bsrb.is/library/Skrar-a-vef-ymsar/R%C3%BAnar%20Vilhj%C3%A1lmsson%20-%20Er%20einkarekstur%20%C3%AD%20heilbrig%C3%B0is%C3%BEj%C3%B3nustu%20almannahagur.pdf" TargetMode="External"/><Relationship Id="rId5" Type="http://schemas.openxmlformats.org/officeDocument/2006/relationships/hyperlink" Target="http://www.obi.is/static/files/skjol/ppt-glaerur/glaerur-gunnar-alexanders-olafssonar-vegna-greidsluthatttoku-obi-april-2016.pptx" TargetMode="External"/><Relationship Id="rId10" Type="http://schemas.openxmlformats.org/officeDocument/2006/relationships/hyperlink" Target="http://bsrb.is/library/Skrar-a-vef-ymsar/R%C3%BAnar%20Vilhj%C3%A1lmsson%20-%20Er%20einkarekstur%20%C3%AD%20heilbrig%C3%B0is%C3%BEj%C3%B3nustu%20almannahagur.pdf" TargetMode="External"/><Relationship Id="rId4" Type="http://schemas.openxmlformats.org/officeDocument/2006/relationships/hyperlink" Target="https://www.althingi.is/altext/pdf/145/s/0001.pdf" TargetMode="External"/><Relationship Id="rId9" Type="http://schemas.openxmlformats.org/officeDocument/2006/relationships/hyperlink" Target="http://www.obi.is/static/files/skjol/ppt-glaerur/glaerur-gunnar-alexanders-olafssonar-vegna-greidsluthatttoku-obi-april-2016.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B52B-62B6-4F15-9FE7-48A467CC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Hanna Ingólfsdóttir</dc:creator>
  <cp:lastModifiedBy>Guðjón Helgason</cp:lastModifiedBy>
  <cp:revision>2</cp:revision>
  <cp:lastPrinted>2016-03-04T14:27:00Z</cp:lastPrinted>
  <dcterms:created xsi:type="dcterms:W3CDTF">2016-08-26T11:56:00Z</dcterms:created>
  <dcterms:modified xsi:type="dcterms:W3CDTF">2016-08-26T11:56:00Z</dcterms:modified>
</cp:coreProperties>
</file>